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7ADFB2">
      <w:pPr>
        <w:spacing w:line="360" w:lineRule="auto"/>
        <w:jc w:val="center"/>
        <w:textAlignment w:val="baseline"/>
        <w:rPr>
          <w:rFonts w:ascii="楷体" w:hAnsi="楷体" w:eastAsia="楷体" w:cs="Times New Roman"/>
          <w:b/>
          <w:bCs/>
          <w:sz w:val="36"/>
          <w:szCs w:val="36"/>
        </w:rPr>
      </w:pPr>
      <w:r>
        <w:rPr>
          <w:rFonts w:hint="default" w:ascii="Arial" w:hAnsi="Arial" w:cs="Arial"/>
          <w:b/>
          <w:bCs/>
          <w:i w:val="0"/>
          <w:iCs w:val="0"/>
          <w:caps w:val="0"/>
          <w:color w:val="333333"/>
          <w:spacing w:val="0"/>
          <w:sz w:val="36"/>
          <w:szCs w:val="36"/>
          <w:shd w:val="clear" w:fill="FFFFFF"/>
        </w:rPr>
        <w:t>淮南市八公山区狮子山废弃矿山生态修复项目</w:t>
      </w:r>
      <w:r>
        <w:rPr>
          <w:rFonts w:hint="eastAsia" w:ascii="Arial" w:hAnsi="Arial" w:cs="Arial"/>
          <w:b/>
          <w:bCs/>
          <w:i w:val="0"/>
          <w:iCs w:val="0"/>
          <w:caps w:val="0"/>
          <w:color w:val="333333"/>
          <w:spacing w:val="0"/>
          <w:sz w:val="36"/>
          <w:szCs w:val="36"/>
          <w:shd w:val="clear" w:fill="FFFFFF"/>
          <w:lang w:val="en-US" w:eastAsia="zh-CN"/>
        </w:rPr>
        <w:t>土方工程</w:t>
      </w:r>
      <w:r>
        <w:rPr>
          <w:rFonts w:hint="default" w:ascii="Arial" w:hAnsi="Arial" w:cs="Arial"/>
          <w:b/>
          <w:bCs/>
          <w:i w:val="0"/>
          <w:iCs w:val="0"/>
          <w:caps w:val="0"/>
          <w:color w:val="333333"/>
          <w:spacing w:val="0"/>
          <w:sz w:val="36"/>
          <w:szCs w:val="36"/>
          <w:shd w:val="clear" w:fill="FFFFFF"/>
        </w:rPr>
        <w:t>询价文件</w:t>
      </w:r>
    </w:p>
    <w:p w14:paraId="2D17E2A5">
      <w:pPr>
        <w:spacing w:line="360" w:lineRule="auto"/>
        <w:jc w:val="center"/>
        <w:textAlignment w:val="baseline"/>
        <w:rPr>
          <w:rFonts w:ascii="楷体" w:hAnsi="楷体" w:eastAsia="楷体" w:cs="Times New Roman"/>
          <w:b/>
          <w:bCs/>
          <w:sz w:val="32"/>
          <w:szCs w:val="32"/>
        </w:rPr>
      </w:pPr>
    </w:p>
    <w:p w14:paraId="7B100B8B">
      <w:pPr>
        <w:spacing w:line="360" w:lineRule="auto"/>
        <w:jc w:val="both"/>
        <w:textAlignment w:val="baseline"/>
        <w:rPr>
          <w:rFonts w:ascii="楷体" w:hAnsi="楷体" w:eastAsia="楷体" w:cs="Times New Roman"/>
          <w:b/>
          <w:sz w:val="72"/>
          <w:szCs w:val="72"/>
        </w:rPr>
      </w:pPr>
    </w:p>
    <w:p w14:paraId="53A8E6AB">
      <w:pPr>
        <w:spacing w:line="360" w:lineRule="auto"/>
        <w:jc w:val="center"/>
        <w:textAlignment w:val="baseline"/>
        <w:rPr>
          <w:rFonts w:ascii="楷体" w:hAnsi="楷体" w:eastAsia="楷体" w:cs="Times New Roman"/>
          <w:b/>
          <w:sz w:val="32"/>
          <w:szCs w:val="32"/>
        </w:rPr>
      </w:pPr>
    </w:p>
    <w:p w14:paraId="33FD66AC">
      <w:pPr>
        <w:spacing w:line="360" w:lineRule="auto"/>
        <w:jc w:val="center"/>
        <w:textAlignment w:val="baseline"/>
        <w:rPr>
          <w:rFonts w:ascii="楷体" w:hAnsi="楷体" w:eastAsia="楷体" w:cs="Times New Roman"/>
          <w:b/>
          <w:sz w:val="32"/>
          <w:szCs w:val="32"/>
        </w:rPr>
      </w:pPr>
    </w:p>
    <w:p w14:paraId="6C125DE0">
      <w:pPr>
        <w:spacing w:line="360" w:lineRule="auto"/>
        <w:jc w:val="center"/>
        <w:textAlignment w:val="baseline"/>
        <w:rPr>
          <w:rFonts w:ascii="楷体" w:hAnsi="楷体" w:eastAsia="楷体" w:cs="Times New Roman"/>
          <w:b/>
          <w:sz w:val="32"/>
          <w:szCs w:val="32"/>
        </w:rPr>
      </w:pPr>
    </w:p>
    <w:p w14:paraId="6FC4797D">
      <w:pPr>
        <w:spacing w:line="360" w:lineRule="auto"/>
        <w:jc w:val="center"/>
        <w:textAlignment w:val="baseline"/>
        <w:rPr>
          <w:rFonts w:ascii="楷体" w:hAnsi="楷体" w:eastAsia="楷体" w:cs="Times New Roman"/>
          <w:b/>
          <w:sz w:val="32"/>
          <w:szCs w:val="32"/>
        </w:rPr>
      </w:pPr>
    </w:p>
    <w:p w14:paraId="4F769947">
      <w:pPr>
        <w:spacing w:line="360" w:lineRule="auto"/>
        <w:jc w:val="center"/>
        <w:textAlignment w:val="baseline"/>
        <w:rPr>
          <w:rFonts w:ascii="楷体" w:hAnsi="楷体" w:eastAsia="楷体" w:cs="Times New Roman"/>
          <w:b/>
          <w:sz w:val="32"/>
          <w:szCs w:val="32"/>
        </w:rPr>
      </w:pPr>
    </w:p>
    <w:p w14:paraId="01E6B5CA">
      <w:pPr>
        <w:spacing w:line="360" w:lineRule="auto"/>
        <w:jc w:val="center"/>
        <w:textAlignment w:val="baseline"/>
        <w:rPr>
          <w:rFonts w:ascii="楷体" w:hAnsi="楷体" w:eastAsia="楷体" w:cs="Times New Roman"/>
          <w:b/>
          <w:sz w:val="32"/>
          <w:szCs w:val="32"/>
        </w:rPr>
      </w:pPr>
    </w:p>
    <w:p w14:paraId="253BCF30">
      <w:pPr>
        <w:spacing w:line="360" w:lineRule="auto"/>
        <w:jc w:val="center"/>
        <w:textAlignment w:val="baseline"/>
        <w:rPr>
          <w:rFonts w:ascii="楷体" w:hAnsi="楷体" w:eastAsia="楷体" w:cs="Times New Roman"/>
          <w:b/>
          <w:sz w:val="32"/>
          <w:szCs w:val="32"/>
        </w:rPr>
      </w:pPr>
    </w:p>
    <w:p w14:paraId="1378D8A1">
      <w:pPr>
        <w:spacing w:line="360" w:lineRule="auto"/>
        <w:jc w:val="center"/>
        <w:textAlignment w:val="baseline"/>
        <w:rPr>
          <w:rFonts w:ascii="楷体" w:hAnsi="楷体" w:eastAsia="楷体" w:cs="Times New Roman"/>
          <w:b/>
          <w:sz w:val="32"/>
          <w:szCs w:val="32"/>
        </w:rPr>
      </w:pPr>
    </w:p>
    <w:p w14:paraId="5C7E03CF">
      <w:pPr>
        <w:spacing w:line="360" w:lineRule="auto"/>
        <w:jc w:val="center"/>
        <w:textAlignment w:val="baseline"/>
        <w:rPr>
          <w:rFonts w:hint="default" w:ascii="Times New Roman" w:hAnsi="Times New Roman" w:eastAsia="宋体" w:cs="Times New Roman"/>
          <w:b w:val="0"/>
          <w:bCs/>
          <w:sz w:val="36"/>
          <w:szCs w:val="36"/>
          <w:u w:val="single"/>
          <w:lang w:val="en-US" w:eastAsia="zh-CN"/>
        </w:rPr>
      </w:pPr>
      <w:r>
        <w:rPr>
          <w:rFonts w:hint="eastAsia" w:ascii="Times New Roman" w:hAnsi="Times New Roman" w:eastAsia="宋体" w:cs="Times New Roman"/>
          <w:b/>
          <w:sz w:val="36"/>
          <w:szCs w:val="36"/>
          <w:lang w:val="en-US" w:eastAsia="zh-CN"/>
        </w:rPr>
        <w:t>招标单位</w:t>
      </w:r>
      <w:r>
        <w:rPr>
          <w:rFonts w:hint="eastAsia" w:ascii="Times New Roman" w:hAnsi="Times New Roman" w:eastAsia="宋体" w:cs="Times New Roman"/>
          <w:b/>
          <w:sz w:val="36"/>
          <w:szCs w:val="36"/>
        </w:rPr>
        <w:t>：</w:t>
      </w:r>
      <w:r>
        <w:rPr>
          <w:rFonts w:hint="eastAsia" w:ascii="Times New Roman" w:hAnsi="Times New Roman" w:eastAsia="宋体" w:cs="Times New Roman"/>
          <w:b w:val="0"/>
          <w:bCs/>
          <w:sz w:val="36"/>
          <w:szCs w:val="36"/>
          <w:u w:val="single"/>
          <w:lang w:val="en-US" w:eastAsia="zh-CN"/>
        </w:rPr>
        <w:t>安徽新集矿山建设工程有限公司八公山分公司</w:t>
      </w:r>
    </w:p>
    <w:p w14:paraId="2C273A42">
      <w:pPr>
        <w:spacing w:line="400" w:lineRule="exact"/>
        <w:jc w:val="center"/>
        <w:textAlignment w:val="baseline"/>
        <w:rPr>
          <w:rFonts w:ascii="Times New Roman" w:hAnsi="Times New Roman" w:eastAsia="宋体" w:cs="Times New Roman"/>
          <w:b/>
          <w:bCs/>
          <w:sz w:val="32"/>
        </w:rPr>
      </w:pPr>
    </w:p>
    <w:p w14:paraId="02A4B39D">
      <w:pPr>
        <w:spacing w:line="360" w:lineRule="auto"/>
        <w:jc w:val="center"/>
        <w:textAlignment w:val="baseline"/>
        <w:rPr>
          <w:rFonts w:hint="default" w:ascii="Times New Roman" w:hAnsi="Times New Roman" w:eastAsia="宋体" w:cs="Times New Roman"/>
          <w:b/>
          <w:sz w:val="36"/>
          <w:szCs w:val="36"/>
          <w:u w:val="single"/>
          <w:lang w:val="en-US" w:eastAsia="zh-CN"/>
        </w:rPr>
      </w:pPr>
    </w:p>
    <w:p w14:paraId="294230B5">
      <w:pPr>
        <w:spacing w:line="400" w:lineRule="exact"/>
        <w:jc w:val="center"/>
        <w:textAlignment w:val="baseline"/>
        <w:rPr>
          <w:rFonts w:ascii="Times New Roman" w:hAnsi="Times New Roman" w:eastAsia="宋体" w:cs="Times New Roman"/>
          <w:b/>
          <w:bCs/>
          <w:sz w:val="32"/>
        </w:rPr>
      </w:pPr>
    </w:p>
    <w:p w14:paraId="2757EDDC">
      <w:pPr>
        <w:spacing w:line="400" w:lineRule="exact"/>
        <w:jc w:val="center"/>
        <w:textAlignment w:val="baseline"/>
        <w:rPr>
          <w:rFonts w:ascii="Times New Roman" w:hAnsi="Times New Roman" w:eastAsia="宋体" w:cs="Times New Roman"/>
          <w:b/>
          <w:bCs/>
          <w:sz w:val="32"/>
        </w:rPr>
      </w:pPr>
    </w:p>
    <w:p w14:paraId="70FEE76A">
      <w:pPr>
        <w:spacing w:line="400" w:lineRule="exact"/>
        <w:jc w:val="center"/>
        <w:textAlignment w:val="baseline"/>
        <w:rPr>
          <w:rFonts w:ascii="Times New Roman" w:hAnsi="Times New Roman" w:eastAsia="宋体" w:cs="Times New Roman"/>
          <w:b/>
          <w:bCs/>
          <w:sz w:val="32"/>
        </w:rPr>
      </w:pPr>
    </w:p>
    <w:p w14:paraId="503D68C3">
      <w:pPr>
        <w:spacing w:line="400" w:lineRule="exact"/>
        <w:jc w:val="center"/>
        <w:textAlignment w:val="baseline"/>
        <w:rPr>
          <w:rFonts w:ascii="Times New Roman" w:hAnsi="Times New Roman" w:eastAsia="宋体" w:cs="Times New Roman"/>
          <w:b/>
          <w:sz w:val="20"/>
          <w:szCs w:val="20"/>
        </w:rPr>
      </w:pPr>
      <w:r>
        <w:rPr>
          <w:rFonts w:hint="eastAsia" w:ascii="Times New Roman" w:hAnsi="Times New Roman" w:eastAsia="宋体" w:cs="Times New Roman"/>
          <w:b/>
          <w:bCs/>
          <w:sz w:val="32"/>
          <w:lang w:val="en-US" w:eastAsia="zh-CN"/>
        </w:rPr>
        <w:t xml:space="preserve">2025 </w:t>
      </w:r>
      <w:r>
        <w:rPr>
          <w:rFonts w:hint="eastAsia" w:ascii="Times New Roman" w:hAnsi="Times New Roman" w:eastAsia="宋体" w:cs="Times New Roman"/>
          <w:b/>
          <w:bCs/>
          <w:sz w:val="32"/>
        </w:rPr>
        <w:t>年</w:t>
      </w:r>
      <w:r>
        <w:rPr>
          <w:rFonts w:hint="eastAsia" w:ascii="Times New Roman" w:hAnsi="Times New Roman" w:eastAsia="宋体" w:cs="Times New Roman"/>
          <w:b/>
          <w:bCs/>
          <w:sz w:val="32"/>
          <w:lang w:val="en-US" w:eastAsia="zh-CN"/>
        </w:rPr>
        <w:t>9</w:t>
      </w:r>
      <w:r>
        <w:rPr>
          <w:rFonts w:hint="eastAsia" w:ascii="Times New Roman" w:hAnsi="Times New Roman" w:eastAsia="宋体" w:cs="Times New Roman"/>
          <w:b/>
          <w:bCs/>
          <w:sz w:val="32"/>
        </w:rPr>
        <w:t>月</w:t>
      </w:r>
      <w:r>
        <w:rPr>
          <w:rFonts w:hint="eastAsia" w:ascii="Times New Roman" w:hAnsi="Times New Roman" w:eastAsia="宋体" w:cs="Times New Roman"/>
          <w:b/>
          <w:bCs/>
          <w:sz w:val="32"/>
          <w:lang w:val="en-US" w:eastAsia="zh-CN"/>
        </w:rPr>
        <w:t>28</w:t>
      </w:r>
      <w:r>
        <w:rPr>
          <w:rFonts w:hint="eastAsia" w:ascii="Times New Roman" w:hAnsi="Times New Roman" w:eastAsia="宋体" w:cs="Times New Roman"/>
          <w:b/>
          <w:bCs/>
          <w:sz w:val="32"/>
        </w:rPr>
        <w:t>日</w:t>
      </w:r>
    </w:p>
    <w:p w14:paraId="00668AC3">
      <w:pPr>
        <w:spacing w:line="400" w:lineRule="exact"/>
        <w:textAlignment w:val="baseline"/>
        <w:rPr>
          <w:rFonts w:ascii="Times New Roman" w:hAnsi="Times New Roman" w:eastAsia="宋体" w:cs="Times New Roman"/>
          <w:sz w:val="20"/>
        </w:rPr>
      </w:pPr>
    </w:p>
    <w:p w14:paraId="3CACCE5B">
      <w:pPr>
        <w:spacing w:line="600" w:lineRule="exact"/>
        <w:jc w:val="center"/>
        <w:textAlignment w:val="baseline"/>
        <w:rPr>
          <w:rFonts w:ascii="Arial Narrow" w:hAnsi="Arial Narrow" w:eastAsia="方正大标宋简体" w:cs="Times New Roman"/>
          <w:w w:val="90"/>
          <w:sz w:val="44"/>
        </w:rPr>
      </w:pPr>
    </w:p>
    <w:p w14:paraId="1EC897C2">
      <w:pPr>
        <w:pStyle w:val="3"/>
        <w:keepNext w:val="0"/>
        <w:keepLines w:val="0"/>
        <w:widowControl/>
        <w:suppressLineNumbers w:val="0"/>
        <w:pBdr>
          <w:top w:val="none" w:color="auto" w:sz="0" w:space="0"/>
          <w:left w:val="none" w:color="auto" w:sz="0" w:space="0"/>
          <w:bottom w:val="dotted" w:color="CCCCCC" w:sz="4" w:space="10"/>
          <w:right w:val="none" w:color="auto" w:sz="0" w:space="0"/>
        </w:pBdr>
        <w:shd w:val="clear" w:fill="FFFFFF"/>
        <w:spacing w:before="0" w:beforeAutospacing="0" w:after="200" w:afterAutospacing="0" w:line="11" w:lineRule="atLeast"/>
        <w:ind w:left="0" w:right="0" w:firstLine="0"/>
        <w:jc w:val="center"/>
        <w:rPr>
          <w:rFonts w:hint="default" w:ascii="Arial" w:hAnsi="Arial" w:cs="Arial"/>
          <w:i w:val="0"/>
          <w:iCs w:val="0"/>
          <w:caps w:val="0"/>
          <w:color w:val="333333"/>
          <w:spacing w:val="0"/>
          <w:shd w:val="clear" w:fill="FFFFFF"/>
        </w:rPr>
      </w:pPr>
    </w:p>
    <w:p w14:paraId="0753AEF4">
      <w:pPr>
        <w:pStyle w:val="3"/>
        <w:keepNext w:val="0"/>
        <w:keepLines w:val="0"/>
        <w:widowControl/>
        <w:suppressLineNumbers w:val="0"/>
        <w:pBdr>
          <w:top w:val="none" w:color="auto" w:sz="0" w:space="0"/>
          <w:left w:val="none" w:color="auto" w:sz="0" w:space="0"/>
          <w:bottom w:val="dotted" w:color="CCCCCC" w:sz="4" w:space="10"/>
          <w:right w:val="none" w:color="auto" w:sz="0" w:space="0"/>
        </w:pBdr>
        <w:shd w:val="clear" w:fill="FFFFFF"/>
        <w:spacing w:before="0" w:beforeAutospacing="0" w:after="200" w:afterAutospacing="0" w:line="11" w:lineRule="atLeast"/>
        <w:ind w:left="0" w:right="0" w:firstLine="0"/>
        <w:jc w:val="center"/>
        <w:rPr>
          <w:rFonts w:hint="default" w:ascii="Arial" w:hAnsi="Arial" w:cs="Arial"/>
          <w:i w:val="0"/>
          <w:iCs w:val="0"/>
          <w:caps w:val="0"/>
          <w:color w:val="333333"/>
          <w:spacing w:val="0"/>
          <w:shd w:val="clear" w:fill="FFFFFF"/>
        </w:rPr>
      </w:pPr>
    </w:p>
    <w:p w14:paraId="43EECD7D">
      <w:pPr>
        <w:pStyle w:val="3"/>
        <w:keepNext w:val="0"/>
        <w:keepLines w:val="0"/>
        <w:widowControl/>
        <w:suppressLineNumbers w:val="0"/>
        <w:pBdr>
          <w:top w:val="none" w:color="auto" w:sz="0" w:space="0"/>
          <w:left w:val="none" w:color="auto" w:sz="0" w:space="0"/>
          <w:bottom w:val="dotted" w:color="CCCCCC" w:sz="4" w:space="10"/>
          <w:right w:val="none" w:color="auto" w:sz="0" w:space="0"/>
        </w:pBdr>
        <w:shd w:val="clear" w:fill="FFFFFF"/>
        <w:spacing w:before="0" w:beforeAutospacing="0" w:after="200" w:afterAutospacing="0" w:line="11" w:lineRule="atLeast"/>
        <w:ind w:left="0" w:right="0" w:firstLine="0"/>
        <w:jc w:val="center"/>
        <w:rPr>
          <w:rFonts w:hint="eastAsia" w:ascii="Arial" w:hAnsi="Arial" w:eastAsia="宋体" w:cs="Arial"/>
          <w:i w:val="0"/>
          <w:iCs w:val="0"/>
          <w:caps w:val="0"/>
          <w:color w:val="333333"/>
          <w:spacing w:val="0"/>
          <w:lang w:val="en-US" w:eastAsia="zh-CN"/>
        </w:rPr>
      </w:pPr>
      <w:r>
        <w:rPr>
          <w:rFonts w:hint="default" w:ascii="Arial" w:hAnsi="Arial" w:cs="Arial"/>
          <w:i w:val="0"/>
          <w:iCs w:val="0"/>
          <w:caps w:val="0"/>
          <w:color w:val="333333"/>
          <w:spacing w:val="0"/>
          <w:shd w:val="clear" w:fill="FFFFFF"/>
        </w:rPr>
        <w:t>淮南市八公山区狮子山废弃矿山生态修复项目</w:t>
      </w:r>
      <w:r>
        <w:rPr>
          <w:rFonts w:hint="eastAsia" w:ascii="Arial" w:hAnsi="Arial" w:cs="Arial"/>
          <w:i w:val="0"/>
          <w:iCs w:val="0"/>
          <w:caps w:val="0"/>
          <w:color w:val="333333"/>
          <w:spacing w:val="0"/>
          <w:shd w:val="clear" w:fill="FFFFFF"/>
          <w:lang w:val="en-US" w:eastAsia="zh-CN"/>
        </w:rPr>
        <w:t>土方工程</w:t>
      </w:r>
      <w:r>
        <w:rPr>
          <w:rFonts w:hint="default" w:ascii="Arial" w:hAnsi="Arial" w:cs="Arial"/>
          <w:i w:val="0"/>
          <w:iCs w:val="0"/>
          <w:caps w:val="0"/>
          <w:color w:val="333333"/>
          <w:spacing w:val="0"/>
          <w:shd w:val="clear" w:fill="FFFFFF"/>
        </w:rPr>
        <w:t>询价文件</w:t>
      </w:r>
    </w:p>
    <w:p w14:paraId="5CE857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pPr>
      <w:r>
        <w:rPr>
          <w:rFonts w:hint="eastAsia" w:ascii="Arial" w:hAnsi="Arial" w:cs="Arial" w:eastAsiaTheme="minorEastAsia"/>
          <w:i w:val="0"/>
          <w:iCs w:val="0"/>
          <w:caps w:val="0"/>
          <w:color w:val="444444"/>
          <w:spacing w:val="0"/>
          <w:kern w:val="0"/>
          <w:sz w:val="24"/>
          <w:szCs w:val="24"/>
          <w:shd w:val="clear" w:fill="FFFFFF"/>
          <w:vertAlign w:val="baseline"/>
          <w:lang w:val="en-US" w:eastAsia="zh-CN" w:bidi="ar"/>
        </w:rPr>
        <w:t>淮南市八公山区狮子山废弃矿山生态修复项目</w:t>
      </w:r>
      <w:r>
        <w:rPr>
          <w:rFonts w:hint="eastAsia" w:ascii="Arial" w:hAnsi="Arial" w:cs="Arial"/>
          <w:i w:val="0"/>
          <w:iCs w:val="0"/>
          <w:caps w:val="0"/>
          <w:color w:val="444444"/>
          <w:spacing w:val="0"/>
          <w:kern w:val="0"/>
          <w:sz w:val="24"/>
          <w:szCs w:val="24"/>
          <w:shd w:val="clear" w:fill="FFFFFF"/>
          <w:vertAlign w:val="baseline"/>
          <w:lang w:val="en-US" w:eastAsia="zh-CN" w:bidi="ar"/>
        </w:rPr>
        <w:t>土方工程</w:t>
      </w:r>
      <w:r>
        <w:rPr>
          <w:rFonts w:hint="eastAsia" w:ascii="Arial" w:hAnsi="Arial" w:cs="Arial" w:eastAsiaTheme="minorEastAsia"/>
          <w:i w:val="0"/>
          <w:iCs w:val="0"/>
          <w:caps w:val="0"/>
          <w:color w:val="444444"/>
          <w:spacing w:val="0"/>
          <w:kern w:val="0"/>
          <w:sz w:val="24"/>
          <w:szCs w:val="24"/>
          <w:shd w:val="clear" w:fill="FFFFFF"/>
          <w:vertAlign w:val="baseline"/>
          <w:lang w:val="en-US" w:eastAsia="zh-CN" w:bidi="ar"/>
        </w:rPr>
        <w:t>询价文件</w:t>
      </w:r>
      <w:r>
        <w:rPr>
          <w:rFonts w:ascii="Arial" w:hAnsi="Arial" w:cs="Arial" w:eastAsiaTheme="minorEastAsia"/>
          <w:i w:val="0"/>
          <w:iCs w:val="0"/>
          <w:caps w:val="0"/>
          <w:color w:val="444444"/>
          <w:spacing w:val="0"/>
          <w:kern w:val="0"/>
          <w:sz w:val="24"/>
          <w:szCs w:val="24"/>
          <w:shd w:val="clear" w:fill="FFFFFF"/>
          <w:vertAlign w:val="baseline"/>
          <w:lang w:val="en-US" w:eastAsia="zh-CN" w:bidi="ar"/>
        </w:rPr>
        <w:t>，本</w:t>
      </w:r>
      <w:r>
        <w:rPr>
          <w:rFonts w:hint="eastAsia" w:ascii="Arial" w:hAnsi="Arial" w:cs="Arial"/>
          <w:i w:val="0"/>
          <w:iCs w:val="0"/>
          <w:caps w:val="0"/>
          <w:color w:val="444444"/>
          <w:spacing w:val="0"/>
          <w:kern w:val="0"/>
          <w:sz w:val="24"/>
          <w:szCs w:val="24"/>
          <w:shd w:val="clear" w:fill="FFFFFF"/>
          <w:vertAlign w:val="baseline"/>
          <w:lang w:val="en-US" w:eastAsia="zh-CN" w:bidi="ar"/>
        </w:rPr>
        <w:t>询价</w:t>
      </w:r>
      <w:r>
        <w:rPr>
          <w:rFonts w:ascii="Arial" w:hAnsi="Arial" w:cs="Arial" w:eastAsiaTheme="minorEastAsia"/>
          <w:i w:val="0"/>
          <w:iCs w:val="0"/>
          <w:caps w:val="0"/>
          <w:color w:val="444444"/>
          <w:spacing w:val="0"/>
          <w:kern w:val="0"/>
          <w:sz w:val="24"/>
          <w:szCs w:val="24"/>
          <w:shd w:val="clear" w:fill="FFFFFF"/>
          <w:vertAlign w:val="baseline"/>
          <w:lang w:val="en-US" w:eastAsia="zh-CN" w:bidi="ar"/>
        </w:rPr>
        <w:t>文件是各报价人编制报价书的依据，也是今后</w:t>
      </w:r>
      <w:r>
        <w:rPr>
          <w:rFonts w:hint="eastAsia" w:ascii="Arial" w:hAnsi="Arial" w:cs="Arial"/>
          <w:i w:val="0"/>
          <w:iCs w:val="0"/>
          <w:caps w:val="0"/>
          <w:color w:val="444444"/>
          <w:spacing w:val="0"/>
          <w:kern w:val="0"/>
          <w:sz w:val="24"/>
          <w:szCs w:val="24"/>
          <w:shd w:val="clear" w:fill="FFFFFF"/>
          <w:vertAlign w:val="baseline"/>
          <w:lang w:val="en-US" w:eastAsia="zh-CN" w:bidi="ar"/>
        </w:rPr>
        <w:t>招标</w:t>
      </w:r>
      <w:r>
        <w:rPr>
          <w:rFonts w:ascii="Arial" w:hAnsi="Arial" w:cs="Arial" w:eastAsiaTheme="minorEastAsia"/>
          <w:i w:val="0"/>
          <w:iCs w:val="0"/>
          <w:caps w:val="0"/>
          <w:color w:val="444444"/>
          <w:spacing w:val="0"/>
          <w:kern w:val="0"/>
          <w:sz w:val="24"/>
          <w:szCs w:val="24"/>
          <w:shd w:val="clear" w:fill="FFFFFF"/>
          <w:vertAlign w:val="baseline"/>
          <w:lang w:val="en-US" w:eastAsia="zh-CN" w:bidi="ar"/>
        </w:rPr>
        <w:t>人与报价人签订分包合同的依据。本次上网公布的是公开报名，采纳优质合理低价。</w:t>
      </w:r>
    </w:p>
    <w:p w14:paraId="7AF9F3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pPr>
      <w:r>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t>一、工程概况</w:t>
      </w:r>
    </w:p>
    <w:p w14:paraId="30129F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lang w:val="en-US"/>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1、工程名称：</w:t>
      </w:r>
      <w:r>
        <w:rPr>
          <w:rFonts w:hint="eastAsia" w:ascii="Arial" w:hAnsi="Arial" w:cs="Arial" w:eastAsiaTheme="minorEastAsia"/>
          <w:i w:val="0"/>
          <w:iCs w:val="0"/>
          <w:caps w:val="0"/>
          <w:color w:val="444444"/>
          <w:spacing w:val="0"/>
          <w:kern w:val="0"/>
          <w:sz w:val="24"/>
          <w:szCs w:val="24"/>
          <w:shd w:val="clear" w:fill="FFFFFF"/>
          <w:vertAlign w:val="baseline"/>
          <w:lang w:val="en-US" w:eastAsia="zh-CN" w:bidi="ar"/>
        </w:rPr>
        <w:t>淮南市八公山区狮子山废弃矿山生态修复项目</w:t>
      </w:r>
      <w:r>
        <w:rPr>
          <w:rFonts w:hint="eastAsia" w:ascii="Arial" w:hAnsi="Arial" w:cs="Arial"/>
          <w:i w:val="0"/>
          <w:iCs w:val="0"/>
          <w:caps w:val="0"/>
          <w:color w:val="444444"/>
          <w:spacing w:val="0"/>
          <w:kern w:val="0"/>
          <w:sz w:val="24"/>
          <w:szCs w:val="24"/>
          <w:shd w:val="clear" w:fill="FFFFFF"/>
          <w:vertAlign w:val="baseline"/>
          <w:lang w:val="en-US" w:eastAsia="zh-CN" w:bidi="ar"/>
        </w:rPr>
        <w:t>土方工程</w:t>
      </w:r>
    </w:p>
    <w:p w14:paraId="1A57E3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lang w:val="en-US"/>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2、工程地点：</w:t>
      </w:r>
      <w:r>
        <w:rPr>
          <w:rFonts w:hint="eastAsia" w:ascii="Arial" w:hAnsi="Arial" w:cs="Arial"/>
          <w:i w:val="0"/>
          <w:iCs w:val="0"/>
          <w:caps w:val="0"/>
          <w:color w:val="444444"/>
          <w:spacing w:val="0"/>
          <w:kern w:val="0"/>
          <w:sz w:val="24"/>
          <w:szCs w:val="24"/>
          <w:shd w:val="clear" w:fill="FFFFFF"/>
          <w:vertAlign w:val="baseline"/>
          <w:lang w:val="en-US" w:eastAsia="zh-CN" w:bidi="ar"/>
        </w:rPr>
        <w:t>八公山区</w:t>
      </w:r>
    </w:p>
    <w:p w14:paraId="7889D0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highlight w:val="none"/>
          <w:lang w:val="en-US"/>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3、施工单位：</w:t>
      </w:r>
      <w:r>
        <w:rPr>
          <w:rFonts w:hint="eastAsia" w:ascii="Arial" w:hAnsi="Arial" w:cs="Arial"/>
          <w:i w:val="0"/>
          <w:iCs w:val="0"/>
          <w:caps w:val="0"/>
          <w:color w:val="444444"/>
          <w:spacing w:val="0"/>
          <w:kern w:val="0"/>
          <w:sz w:val="24"/>
          <w:szCs w:val="24"/>
          <w:highlight w:val="none"/>
          <w:shd w:val="clear" w:fill="FFFFFF"/>
          <w:vertAlign w:val="baseline"/>
          <w:lang w:val="en-US" w:eastAsia="zh-CN" w:bidi="ar"/>
        </w:rPr>
        <w:t>安徽新集矿山建设工程有限公司八公山分公司</w:t>
      </w:r>
    </w:p>
    <w:p w14:paraId="7F5EF3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4、计价方式:  综合单价形式</w:t>
      </w:r>
    </w:p>
    <w:p w14:paraId="037BDA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pPr>
      <w:r>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t>二、工程内容及</w:t>
      </w:r>
      <w:r>
        <w:rPr>
          <w:rFonts w:hint="eastAsia" w:ascii="Arial" w:hAnsi="Arial" w:cs="Arial"/>
          <w:b/>
          <w:bCs/>
          <w:i w:val="0"/>
          <w:iCs w:val="0"/>
          <w:caps w:val="0"/>
          <w:color w:val="444444"/>
          <w:spacing w:val="0"/>
          <w:kern w:val="0"/>
          <w:sz w:val="24"/>
          <w:szCs w:val="24"/>
          <w:shd w:val="clear" w:fill="FFFFFF"/>
          <w:vertAlign w:val="baseline"/>
          <w:lang w:val="en-US" w:eastAsia="zh-CN" w:bidi="ar"/>
        </w:rPr>
        <w:t>招标</w:t>
      </w:r>
      <w:r>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t>范围：</w:t>
      </w:r>
    </w:p>
    <w:p w14:paraId="6F1D6C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inorEastAsia" w:hAnsiTheme="minorEastAsia" w:eastAsiaTheme="minorEastAsia" w:cstheme="minorEastAsia"/>
          <w:sz w:val="24"/>
          <w:szCs w:val="24"/>
          <w:lang w:val="en-US" w:eastAsia="zh-CN"/>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1、</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承包方式：综合单价（</w:t>
      </w:r>
      <w:r>
        <w:rPr>
          <w:rFonts w:hint="eastAsia" w:asciiTheme="minorEastAsia" w:hAnsiTheme="minorEastAsia" w:eastAsiaTheme="minorEastAsia" w:cstheme="minorEastAsia"/>
          <w:i w:val="0"/>
          <w:iCs w:val="0"/>
          <w:caps w:val="0"/>
          <w:color w:val="444444"/>
          <w:spacing w:val="0"/>
          <w:sz w:val="24"/>
          <w:szCs w:val="24"/>
          <w:shd w:val="clear" w:fill="FFFFFF"/>
        </w:rPr>
        <w:t>土方回填、运输、修坡、道路通行、排水、包工期、包质量、包安全、包文明施工（裸露土方覆盖）</w:t>
      </w:r>
      <w:r>
        <w:rPr>
          <w:rFonts w:hint="eastAsia" w:asciiTheme="minorEastAsia" w:hAnsiTheme="minorEastAsia" w:cstheme="minorEastAsia"/>
          <w:i w:val="0"/>
          <w:iCs w:val="0"/>
          <w:caps w:val="0"/>
          <w:color w:val="444444"/>
          <w:spacing w:val="0"/>
          <w:sz w:val="24"/>
          <w:szCs w:val="24"/>
          <w:shd w:val="clear" w:fill="FFFFFF"/>
          <w:lang w:val="en-US" w:eastAsia="zh-CN"/>
        </w:rPr>
        <w:t>包验收</w:t>
      </w:r>
      <w:r>
        <w:rPr>
          <w:rFonts w:hint="eastAsia" w:asciiTheme="minorEastAsia" w:hAnsiTheme="minorEastAsia" w:eastAsiaTheme="minorEastAsia" w:cstheme="minorEastAsia"/>
          <w:i w:val="0"/>
          <w:iCs w:val="0"/>
          <w:caps w:val="0"/>
          <w:color w:val="444444"/>
          <w:spacing w:val="0"/>
          <w:sz w:val="24"/>
          <w:szCs w:val="24"/>
          <w:shd w:val="clear" w:fill="FFFFFF"/>
        </w:rPr>
        <w:t>、并由投标方自供设备（如现场车辆冲洗设备等）的形式承包施工</w:t>
      </w:r>
      <w:r>
        <w:rPr>
          <w:rFonts w:hint="eastAsia" w:asciiTheme="minorEastAsia" w:hAnsiTheme="minorEastAsia" w:eastAsiaTheme="minorEastAsia" w:cstheme="minorEastAsia"/>
          <w:i w:val="0"/>
          <w:iCs w:val="0"/>
          <w:caps w:val="0"/>
          <w:color w:val="444444"/>
          <w:spacing w:val="0"/>
          <w:sz w:val="24"/>
          <w:szCs w:val="24"/>
          <w:shd w:val="clear" w:fill="FFFFFF"/>
          <w:lang w:eastAsia="zh-CN"/>
        </w:rPr>
        <w:t>）</w:t>
      </w:r>
    </w:p>
    <w:p w14:paraId="29FDC3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lang w:val="en-US"/>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2、本次</w:t>
      </w:r>
      <w:r>
        <w:rPr>
          <w:rFonts w:hint="eastAsia" w:ascii="Arial" w:hAnsi="Arial" w:cs="Arial"/>
          <w:i w:val="0"/>
          <w:iCs w:val="0"/>
          <w:caps w:val="0"/>
          <w:color w:val="444444"/>
          <w:spacing w:val="0"/>
          <w:kern w:val="0"/>
          <w:sz w:val="24"/>
          <w:szCs w:val="24"/>
          <w:shd w:val="clear" w:fill="FFFFFF"/>
          <w:vertAlign w:val="baseline"/>
          <w:lang w:val="en-US" w:eastAsia="zh-CN" w:bidi="ar"/>
        </w:rPr>
        <w:t>招标</w:t>
      </w: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范围：</w:t>
      </w:r>
      <w:r>
        <w:rPr>
          <w:rFonts w:hint="eastAsia" w:ascii="Arial" w:hAnsi="Arial" w:cs="Arial" w:eastAsiaTheme="minorEastAsia"/>
          <w:i w:val="0"/>
          <w:iCs w:val="0"/>
          <w:caps w:val="0"/>
          <w:color w:val="444444"/>
          <w:spacing w:val="0"/>
          <w:kern w:val="0"/>
          <w:sz w:val="24"/>
          <w:szCs w:val="24"/>
          <w:shd w:val="clear" w:fill="FFFFFF"/>
          <w:vertAlign w:val="baseline"/>
          <w:lang w:val="en-US" w:eastAsia="zh-CN" w:bidi="ar"/>
        </w:rPr>
        <w:t>狮子山废弃矿山生态修复项目</w:t>
      </w:r>
      <w:r>
        <w:rPr>
          <w:rFonts w:hint="eastAsia" w:ascii="Arial" w:hAnsi="Arial" w:cs="Arial"/>
          <w:i w:val="0"/>
          <w:iCs w:val="0"/>
          <w:caps w:val="0"/>
          <w:color w:val="444444"/>
          <w:spacing w:val="0"/>
          <w:kern w:val="0"/>
          <w:sz w:val="24"/>
          <w:szCs w:val="24"/>
          <w:shd w:val="clear" w:fill="FFFFFF"/>
          <w:vertAlign w:val="baseline"/>
          <w:lang w:val="en-US" w:eastAsia="zh-CN" w:bidi="ar"/>
        </w:rPr>
        <w:t>土方工程</w:t>
      </w:r>
    </w:p>
    <w:p w14:paraId="5B63C153">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本单位不组织统一踏勘，报价单位自行踏勘现场。</w:t>
      </w:r>
    </w:p>
    <w:tbl>
      <w:tblPr>
        <w:tblStyle w:val="7"/>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715"/>
        <w:gridCol w:w="2898"/>
        <w:gridCol w:w="589"/>
        <w:gridCol w:w="936"/>
        <w:gridCol w:w="1084"/>
        <w:gridCol w:w="1053"/>
        <w:gridCol w:w="1217"/>
      </w:tblGrid>
      <w:tr w14:paraId="09251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054" w:type="dxa"/>
            <w:gridSpan w:val="8"/>
            <w:tcBorders>
              <w:top w:val="nil"/>
              <w:left w:val="nil"/>
              <w:bottom w:val="single" w:color="auto" w:sz="4" w:space="0"/>
              <w:right w:val="nil"/>
            </w:tcBorders>
            <w:vAlign w:val="center"/>
          </w:tcPr>
          <w:p w14:paraId="2854DB64">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w w:val="90"/>
                <w:sz w:val="22"/>
                <w:szCs w:val="22"/>
                <w:vertAlign w:val="baseline"/>
                <w:lang w:val="en-US" w:eastAsia="zh-CN"/>
              </w:rPr>
            </w:pPr>
            <w:r>
              <w:rPr>
                <w:rFonts w:hint="eastAsia" w:eastAsia="仿宋_GB2312"/>
                <w:b/>
                <w:bCs/>
                <w:color w:val="000000"/>
                <w:sz w:val="32"/>
                <w:szCs w:val="32"/>
              </w:rPr>
              <w:t>工程量一览表</w:t>
            </w:r>
          </w:p>
        </w:tc>
      </w:tr>
      <w:tr w14:paraId="6D50D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2" w:type="dxa"/>
            <w:tcBorders>
              <w:top w:val="single" w:color="auto" w:sz="4" w:space="0"/>
            </w:tcBorders>
            <w:vAlign w:val="center"/>
          </w:tcPr>
          <w:p w14:paraId="122C99C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2"/>
                <w:szCs w:val="22"/>
                <w:vertAlign w:val="baseline"/>
                <w:lang w:val="en-US" w:eastAsia="zh-CN"/>
              </w:rPr>
            </w:pPr>
            <w:r>
              <w:rPr>
                <w:rFonts w:hint="eastAsia" w:asciiTheme="minorEastAsia" w:hAnsiTheme="minorEastAsia" w:eastAsiaTheme="minorEastAsia" w:cstheme="minorEastAsia"/>
                <w:b/>
                <w:bCs/>
                <w:i w:val="0"/>
                <w:iCs w:val="0"/>
                <w:color w:val="000000"/>
                <w:kern w:val="0"/>
                <w:sz w:val="22"/>
                <w:szCs w:val="22"/>
                <w:u w:val="none"/>
                <w:lang w:val="en-US" w:eastAsia="zh-CN" w:bidi="ar"/>
              </w:rPr>
              <w:t>序号</w:t>
            </w:r>
          </w:p>
        </w:tc>
        <w:tc>
          <w:tcPr>
            <w:tcW w:w="715" w:type="dxa"/>
            <w:tcBorders>
              <w:top w:val="single" w:color="auto" w:sz="4" w:space="0"/>
            </w:tcBorders>
            <w:vAlign w:val="center"/>
          </w:tcPr>
          <w:p w14:paraId="06786689">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2"/>
                <w:szCs w:val="22"/>
                <w:vertAlign w:val="baseline"/>
                <w:lang w:val="en-US" w:eastAsia="zh-CN"/>
              </w:rPr>
            </w:pPr>
            <w:r>
              <w:rPr>
                <w:rFonts w:hint="eastAsia" w:asciiTheme="minorEastAsia" w:hAnsiTheme="minorEastAsia" w:eastAsiaTheme="minorEastAsia" w:cstheme="minorEastAsia"/>
                <w:b/>
                <w:bCs/>
                <w:i w:val="0"/>
                <w:iCs w:val="0"/>
                <w:color w:val="000000"/>
                <w:kern w:val="0"/>
                <w:sz w:val="22"/>
                <w:szCs w:val="22"/>
                <w:u w:val="none"/>
                <w:lang w:val="en-US" w:eastAsia="zh-CN" w:bidi="ar"/>
              </w:rPr>
              <w:t>项目名称</w:t>
            </w:r>
          </w:p>
        </w:tc>
        <w:tc>
          <w:tcPr>
            <w:tcW w:w="2898" w:type="dxa"/>
            <w:tcBorders>
              <w:top w:val="single" w:color="auto" w:sz="4" w:space="0"/>
            </w:tcBorders>
            <w:vAlign w:val="center"/>
          </w:tcPr>
          <w:p w14:paraId="5084D3F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2"/>
                <w:szCs w:val="22"/>
                <w:vertAlign w:val="baseline"/>
                <w:lang w:val="en-US" w:eastAsia="zh-CN"/>
              </w:rPr>
            </w:pPr>
            <w:r>
              <w:rPr>
                <w:rFonts w:hint="eastAsia" w:asciiTheme="minorEastAsia" w:hAnsiTheme="minorEastAsia" w:eastAsiaTheme="minorEastAsia" w:cstheme="minorEastAsia"/>
                <w:b/>
                <w:bCs/>
                <w:i w:val="0"/>
                <w:iCs w:val="0"/>
                <w:color w:val="000000"/>
                <w:kern w:val="0"/>
                <w:sz w:val="22"/>
                <w:szCs w:val="22"/>
                <w:u w:val="none"/>
                <w:lang w:val="en-US" w:eastAsia="zh-CN" w:bidi="ar"/>
              </w:rPr>
              <w:t>项目特征描述</w:t>
            </w:r>
          </w:p>
        </w:tc>
        <w:tc>
          <w:tcPr>
            <w:tcW w:w="589" w:type="dxa"/>
            <w:tcBorders>
              <w:top w:val="single" w:color="auto" w:sz="4" w:space="0"/>
            </w:tcBorders>
            <w:vAlign w:val="center"/>
          </w:tcPr>
          <w:p w14:paraId="3009565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2"/>
                <w:szCs w:val="22"/>
                <w:vertAlign w:val="baseline"/>
                <w:lang w:val="en-US" w:eastAsia="zh-CN"/>
              </w:rPr>
            </w:pPr>
            <w:r>
              <w:rPr>
                <w:rFonts w:hint="eastAsia" w:asciiTheme="minorEastAsia" w:hAnsiTheme="minorEastAsia" w:eastAsiaTheme="minorEastAsia" w:cstheme="minorEastAsia"/>
                <w:b/>
                <w:bCs/>
                <w:i w:val="0"/>
                <w:iCs w:val="0"/>
                <w:color w:val="000000"/>
                <w:kern w:val="0"/>
                <w:sz w:val="22"/>
                <w:szCs w:val="22"/>
                <w:u w:val="none"/>
                <w:lang w:val="en-US" w:eastAsia="zh-CN" w:bidi="ar"/>
              </w:rPr>
              <w:t>单位</w:t>
            </w:r>
          </w:p>
        </w:tc>
        <w:tc>
          <w:tcPr>
            <w:tcW w:w="936" w:type="dxa"/>
            <w:tcBorders>
              <w:top w:val="single" w:color="auto" w:sz="4" w:space="0"/>
            </w:tcBorders>
            <w:vAlign w:val="center"/>
          </w:tcPr>
          <w:p w14:paraId="66F5AD8E">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2"/>
                <w:szCs w:val="22"/>
                <w:vertAlign w:val="baseline"/>
                <w:lang w:val="en-US" w:eastAsia="zh-CN"/>
              </w:rPr>
            </w:pPr>
            <w:r>
              <w:rPr>
                <w:rFonts w:hint="eastAsia" w:asciiTheme="minorEastAsia" w:hAnsiTheme="minorEastAsia" w:eastAsiaTheme="minorEastAsia" w:cstheme="minorEastAsia"/>
                <w:b/>
                <w:bCs/>
                <w:i w:val="0"/>
                <w:iCs w:val="0"/>
                <w:color w:val="000000"/>
                <w:kern w:val="0"/>
                <w:sz w:val="22"/>
                <w:szCs w:val="22"/>
                <w:u w:val="none"/>
                <w:lang w:val="en-US" w:eastAsia="zh-CN" w:bidi="ar"/>
              </w:rPr>
              <w:t>计划用量</w:t>
            </w:r>
          </w:p>
        </w:tc>
        <w:tc>
          <w:tcPr>
            <w:tcW w:w="1084" w:type="dxa"/>
            <w:tcBorders>
              <w:top w:val="single" w:color="auto" w:sz="4" w:space="0"/>
            </w:tcBorders>
            <w:vAlign w:val="center"/>
          </w:tcPr>
          <w:p w14:paraId="59B149E8">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2"/>
                <w:szCs w:val="22"/>
                <w:vertAlign w:val="baseline"/>
                <w:lang w:val="en-US" w:eastAsia="zh-CN"/>
              </w:rPr>
            </w:pPr>
            <w:r>
              <w:rPr>
                <w:rFonts w:hint="eastAsia" w:asciiTheme="minorEastAsia" w:hAnsiTheme="minorEastAsia" w:eastAsiaTheme="minorEastAsia" w:cstheme="minorEastAsia"/>
                <w:b/>
                <w:bCs/>
                <w:i w:val="0"/>
                <w:iCs w:val="0"/>
                <w:color w:val="000000"/>
                <w:kern w:val="0"/>
                <w:sz w:val="22"/>
                <w:szCs w:val="22"/>
                <w:u w:val="none"/>
                <w:lang w:val="en-US" w:eastAsia="zh-CN" w:bidi="ar"/>
              </w:rPr>
              <w:t>单价（元）</w:t>
            </w:r>
          </w:p>
        </w:tc>
        <w:tc>
          <w:tcPr>
            <w:tcW w:w="1053" w:type="dxa"/>
            <w:tcBorders>
              <w:top w:val="single" w:color="auto" w:sz="4" w:space="0"/>
            </w:tcBorders>
            <w:vAlign w:val="center"/>
          </w:tcPr>
          <w:p w14:paraId="60FFE0A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2"/>
                <w:szCs w:val="22"/>
                <w:vertAlign w:val="baseline"/>
                <w:lang w:val="en-US" w:eastAsia="zh-CN"/>
              </w:rPr>
            </w:pPr>
            <w:r>
              <w:rPr>
                <w:rFonts w:hint="eastAsia" w:asciiTheme="minorEastAsia" w:hAnsiTheme="minorEastAsia" w:eastAsiaTheme="minorEastAsia" w:cstheme="minorEastAsia"/>
                <w:b/>
                <w:bCs/>
                <w:i w:val="0"/>
                <w:iCs w:val="0"/>
                <w:color w:val="000000"/>
                <w:kern w:val="0"/>
                <w:sz w:val="22"/>
                <w:szCs w:val="22"/>
                <w:u w:val="none"/>
                <w:lang w:val="en-US" w:eastAsia="zh-CN" w:bidi="ar"/>
              </w:rPr>
              <w:t>总价（元）</w:t>
            </w:r>
          </w:p>
        </w:tc>
        <w:tc>
          <w:tcPr>
            <w:tcW w:w="1217" w:type="dxa"/>
            <w:tcBorders>
              <w:top w:val="single" w:color="auto" w:sz="4" w:space="0"/>
            </w:tcBorders>
            <w:vAlign w:val="center"/>
          </w:tcPr>
          <w:p w14:paraId="24037146">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2"/>
                <w:szCs w:val="22"/>
                <w:vertAlign w:val="baseline"/>
                <w:lang w:val="en-US" w:eastAsia="zh-CN"/>
              </w:rPr>
            </w:pPr>
            <w:r>
              <w:rPr>
                <w:rFonts w:hint="eastAsia" w:asciiTheme="minorEastAsia" w:hAnsiTheme="minorEastAsia" w:cstheme="minorEastAsia"/>
                <w:b/>
                <w:bCs/>
                <w:i w:val="0"/>
                <w:iCs w:val="0"/>
                <w:color w:val="000000"/>
                <w:kern w:val="0"/>
                <w:sz w:val="22"/>
                <w:szCs w:val="22"/>
                <w:u w:val="none"/>
                <w:lang w:val="en-US" w:eastAsia="zh-CN" w:bidi="ar"/>
              </w:rPr>
              <w:t>要求</w:t>
            </w:r>
          </w:p>
        </w:tc>
      </w:tr>
      <w:tr w14:paraId="6A826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14:paraId="72D788A8">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w w:val="90"/>
                <w:sz w:val="22"/>
                <w:szCs w:val="22"/>
                <w:vertAlign w:val="baseline"/>
                <w:lang w:val="en-US" w:eastAsia="zh-CN"/>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715" w:type="dxa"/>
            <w:vAlign w:val="center"/>
          </w:tcPr>
          <w:p w14:paraId="418FBA0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heme="minorEastAsia" w:hAnsiTheme="minorEastAsia" w:eastAsiaTheme="minorEastAsia" w:cstheme="minorEastAsia"/>
                <w:w w:val="90"/>
                <w:sz w:val="22"/>
                <w:szCs w:val="22"/>
                <w:vertAlign w:val="baseline"/>
                <w:lang w:val="en-US" w:eastAsia="zh-CN"/>
              </w:rPr>
            </w:pPr>
            <w:r>
              <w:rPr>
                <w:rFonts w:hint="eastAsia" w:asciiTheme="minorEastAsia" w:hAnsiTheme="minorEastAsia" w:cstheme="minorEastAsia"/>
                <w:i w:val="0"/>
                <w:iCs w:val="0"/>
                <w:color w:val="000000"/>
                <w:kern w:val="0"/>
                <w:sz w:val="22"/>
                <w:szCs w:val="22"/>
                <w:u w:val="none"/>
                <w:lang w:val="en-US" w:eastAsia="zh-CN" w:bidi="ar"/>
              </w:rPr>
              <w:t>回填土</w:t>
            </w:r>
          </w:p>
        </w:tc>
        <w:tc>
          <w:tcPr>
            <w:tcW w:w="2898" w:type="dxa"/>
            <w:vAlign w:val="center"/>
          </w:tcPr>
          <w:p w14:paraId="258765C2">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0" w:firstLineChars="0"/>
              <w:jc w:val="left"/>
              <w:textAlignment w:val="center"/>
              <w:rPr>
                <w:rFonts w:hint="eastAsia" w:asciiTheme="minorEastAsia" w:hAnsiTheme="minorEastAsia" w:eastAsiaTheme="minorEastAsia" w:cstheme="minorEastAsia"/>
                <w:w w:val="90"/>
                <w:sz w:val="22"/>
                <w:szCs w:val="22"/>
                <w:vertAlign w:val="baseline"/>
                <w:lang w:val="en-US" w:eastAsia="zh-CN"/>
              </w:rPr>
            </w:pPr>
            <w:r>
              <w:rPr>
                <w:rFonts w:hint="eastAsia" w:asciiTheme="minorEastAsia" w:hAnsiTheme="minorEastAsia" w:eastAsiaTheme="minorEastAsia" w:cstheme="minorEastAsia"/>
                <w:sz w:val="22"/>
                <w:szCs w:val="22"/>
              </w:rPr>
              <w:t>1．</w:t>
            </w:r>
            <w:r>
              <w:rPr>
                <w:rFonts w:hint="eastAsia" w:asciiTheme="minorEastAsia" w:hAnsiTheme="minorEastAsia" w:eastAsiaTheme="minorEastAsia" w:cstheme="minorEastAsia"/>
                <w:sz w:val="22"/>
                <w:szCs w:val="22"/>
                <w:lang w:val="en-US" w:eastAsia="zh-CN"/>
              </w:rPr>
              <w:t>一</w:t>
            </w:r>
            <w:r>
              <w:rPr>
                <w:rFonts w:hint="eastAsia" w:asciiTheme="minorEastAsia" w:hAnsiTheme="minorEastAsia" w:eastAsiaTheme="minorEastAsia" w:cstheme="minorEastAsia"/>
                <w:color w:val="auto"/>
                <w:sz w:val="22"/>
                <w:szCs w:val="22"/>
                <w:lang w:val="en-US" w:eastAsia="zh-CN"/>
              </w:rPr>
              <w:t>类种植土（</w:t>
            </w:r>
            <w:r>
              <w:rPr>
                <w:rFonts w:hint="eastAsia" w:asciiTheme="minorEastAsia" w:hAnsiTheme="minorEastAsia" w:eastAsiaTheme="minorEastAsia" w:cstheme="minorEastAsia"/>
                <w:i w:val="0"/>
                <w:iCs w:val="0"/>
                <w:caps w:val="0"/>
                <w:color w:val="auto"/>
                <w:spacing w:val="0"/>
                <w:sz w:val="22"/>
                <w:szCs w:val="22"/>
                <w:shd w:val="clear" w:fill="FFFFFF"/>
              </w:rPr>
              <w:t>土方回填、运输、修坡、道路通行、排水、包工期、包质量、包安全、包文明施工（裸露土方覆盖）、并由投标方自供设备（如现场车辆冲洗设备等）的形式承包施工</w:t>
            </w:r>
            <w:r>
              <w:rPr>
                <w:rFonts w:hint="eastAsia" w:asciiTheme="minorEastAsia" w:hAnsiTheme="minorEastAsia" w:eastAsiaTheme="minorEastAsia" w:cstheme="minorEastAsia"/>
                <w:i w:val="0"/>
                <w:iCs w:val="0"/>
                <w:caps w:val="0"/>
                <w:color w:val="auto"/>
                <w:spacing w:val="0"/>
                <w:sz w:val="22"/>
                <w:szCs w:val="22"/>
                <w:shd w:val="clear" w:fill="FFFFFF"/>
                <w:lang w:eastAsia="zh-CN"/>
              </w:rPr>
              <w:t>）</w:t>
            </w:r>
          </w:p>
        </w:tc>
        <w:tc>
          <w:tcPr>
            <w:tcW w:w="589" w:type="dxa"/>
            <w:vAlign w:val="center"/>
          </w:tcPr>
          <w:p w14:paraId="4C4BC85A">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w w:val="90"/>
                <w:sz w:val="22"/>
                <w:szCs w:val="22"/>
                <w:vertAlign w:val="baseline"/>
                <w:lang w:val="en-US" w:eastAsia="zh-CN"/>
              </w:rPr>
            </w:pPr>
            <w:r>
              <w:rPr>
                <w:rFonts w:hint="eastAsia" w:asciiTheme="minorEastAsia" w:hAnsiTheme="minorEastAsia" w:cstheme="minorEastAsia"/>
                <w:i w:val="0"/>
                <w:iCs w:val="0"/>
                <w:color w:val="000000"/>
                <w:kern w:val="0"/>
                <w:sz w:val="22"/>
                <w:szCs w:val="22"/>
                <w:u w:val="none"/>
                <w:lang w:val="en-US" w:eastAsia="zh-CN" w:bidi="ar"/>
              </w:rPr>
              <w:t>m³</w:t>
            </w:r>
          </w:p>
        </w:tc>
        <w:tc>
          <w:tcPr>
            <w:tcW w:w="936" w:type="dxa"/>
            <w:vAlign w:val="center"/>
          </w:tcPr>
          <w:p w14:paraId="3B6B975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heme="minorEastAsia" w:hAnsiTheme="minorEastAsia" w:eastAsiaTheme="minorEastAsia" w:cstheme="minorEastAsia"/>
                <w:w w:val="90"/>
                <w:sz w:val="22"/>
                <w:szCs w:val="22"/>
                <w:vertAlign w:val="baseline"/>
                <w:lang w:val="en-US" w:eastAsia="zh-CN"/>
              </w:rPr>
            </w:pPr>
            <w:r>
              <w:rPr>
                <w:rFonts w:hint="eastAsia" w:asciiTheme="minorEastAsia" w:hAnsiTheme="minorEastAsia" w:cstheme="minorEastAsia"/>
                <w:i w:val="0"/>
                <w:iCs w:val="0"/>
                <w:color w:val="000000"/>
                <w:kern w:val="0"/>
                <w:sz w:val="22"/>
                <w:szCs w:val="22"/>
                <w:u w:val="none"/>
                <w:lang w:val="en-US" w:eastAsia="zh-CN" w:bidi="ar"/>
              </w:rPr>
              <w:t>102164</w:t>
            </w:r>
          </w:p>
        </w:tc>
        <w:tc>
          <w:tcPr>
            <w:tcW w:w="1084" w:type="dxa"/>
            <w:vAlign w:val="center"/>
          </w:tcPr>
          <w:p w14:paraId="7A8A0EF9">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2"/>
                <w:szCs w:val="22"/>
                <w:vertAlign w:val="baseline"/>
                <w:lang w:val="en-US" w:eastAsia="zh-CN"/>
              </w:rPr>
            </w:pPr>
          </w:p>
        </w:tc>
        <w:tc>
          <w:tcPr>
            <w:tcW w:w="1053" w:type="dxa"/>
            <w:vAlign w:val="center"/>
          </w:tcPr>
          <w:p w14:paraId="5EFA2EB3">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2"/>
                <w:szCs w:val="22"/>
                <w:vertAlign w:val="baseline"/>
                <w:lang w:val="en-US" w:eastAsia="zh-CN"/>
              </w:rPr>
            </w:pPr>
          </w:p>
        </w:tc>
        <w:tc>
          <w:tcPr>
            <w:tcW w:w="1217" w:type="dxa"/>
            <w:vAlign w:val="center"/>
          </w:tcPr>
          <w:p w14:paraId="6F414C5C">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2"/>
                <w:szCs w:val="22"/>
                <w:vertAlign w:val="baseline"/>
                <w:lang w:val="en-US" w:eastAsia="zh-CN"/>
              </w:rPr>
            </w:pPr>
          </w:p>
        </w:tc>
      </w:tr>
      <w:tr w14:paraId="0CEBF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562" w:type="dxa"/>
            <w:vAlign w:val="center"/>
          </w:tcPr>
          <w:p w14:paraId="26D0143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cstheme="minorEastAsia"/>
                <w:i w:val="0"/>
                <w:iCs w:val="0"/>
                <w:color w:val="000000"/>
                <w:kern w:val="0"/>
                <w:sz w:val="22"/>
                <w:szCs w:val="22"/>
                <w:u w:val="none"/>
                <w:lang w:val="en-US" w:eastAsia="zh-CN" w:bidi="ar"/>
              </w:rPr>
              <w:t>2</w:t>
            </w:r>
          </w:p>
        </w:tc>
        <w:tc>
          <w:tcPr>
            <w:tcW w:w="715" w:type="dxa"/>
            <w:vAlign w:val="center"/>
          </w:tcPr>
          <w:p w14:paraId="4609FDE4">
            <w:pPr>
              <w:keepNext w:val="0"/>
              <w:keepLines w:val="0"/>
              <w:pageBreakBefore w:val="0"/>
              <w:widowControl/>
              <w:suppressLineNumbers w:val="0"/>
              <w:kinsoku/>
              <w:wordWrap/>
              <w:overflowPunct/>
              <w:topLinePunct w:val="0"/>
              <w:autoSpaceDE/>
              <w:autoSpaceDN/>
              <w:bidi w:val="0"/>
              <w:adjustRightInd/>
              <w:snapToGrid/>
              <w:spacing w:line="360" w:lineRule="auto"/>
              <w:jc w:val="left"/>
              <w:rPr>
                <w:sz w:val="22"/>
                <w:szCs w:val="22"/>
              </w:rPr>
            </w:pPr>
            <w:r>
              <w:rPr>
                <w:rFonts w:hint="eastAsia" w:ascii="宋体" w:hAnsi="宋体" w:eastAsia="宋体" w:cs="宋体"/>
                <w:color w:val="000000"/>
                <w:kern w:val="0"/>
                <w:sz w:val="22"/>
                <w:szCs w:val="22"/>
                <w:lang w:val="en-US" w:eastAsia="zh-CN" w:bidi="ar"/>
              </w:rPr>
              <w:t>回填覆土</w:t>
            </w:r>
          </w:p>
          <w:p w14:paraId="15C60AF7">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cstheme="minorEastAsia"/>
                <w:i w:val="0"/>
                <w:iCs w:val="0"/>
                <w:color w:val="000000"/>
                <w:kern w:val="0"/>
                <w:sz w:val="22"/>
                <w:szCs w:val="22"/>
                <w:u w:val="none"/>
                <w:lang w:val="en-US" w:eastAsia="zh-CN" w:bidi="ar"/>
              </w:rPr>
            </w:pPr>
          </w:p>
        </w:tc>
        <w:tc>
          <w:tcPr>
            <w:tcW w:w="2898" w:type="dxa"/>
            <w:vAlign w:val="center"/>
          </w:tcPr>
          <w:p w14:paraId="10D7E02E">
            <w:pPr>
              <w:keepNext w:val="0"/>
              <w:keepLines w:val="0"/>
              <w:pageBreakBefore w:val="0"/>
              <w:widowControl/>
              <w:suppressLineNumbers w:val="0"/>
              <w:kinsoku/>
              <w:wordWrap/>
              <w:overflowPunct/>
              <w:topLinePunct w:val="0"/>
              <w:autoSpaceDE/>
              <w:autoSpaceDN/>
              <w:bidi w:val="0"/>
              <w:adjustRightInd/>
              <w:snapToGrid/>
              <w:spacing w:line="360" w:lineRule="auto"/>
              <w:jc w:val="left"/>
              <w:rPr>
                <w:rFonts w:hint="default" w:asciiTheme="minorEastAsia" w:hAnsiTheme="minorEastAsia" w:eastAsiaTheme="minorEastAsia" w:cstheme="minorEastAsia"/>
                <w:sz w:val="22"/>
                <w:szCs w:val="22"/>
                <w:lang w:val="en-US"/>
              </w:rPr>
            </w:pPr>
            <w:r>
              <w:rPr>
                <w:rFonts w:hint="eastAsia" w:asciiTheme="minorEastAsia" w:hAnsiTheme="minorEastAsia" w:eastAsiaTheme="minorEastAsia" w:cstheme="minorEastAsia"/>
                <w:sz w:val="22"/>
                <w:szCs w:val="22"/>
                <w:lang w:val="en-US" w:eastAsia="zh-CN"/>
              </w:rPr>
              <w:t>回填高度:600mm,符合</w:t>
            </w:r>
            <w:r>
              <w:rPr>
                <w:rFonts w:hint="eastAsia" w:asciiTheme="minorEastAsia" w:hAnsiTheme="minorEastAsia" w:eastAsiaTheme="minorEastAsia" w:cstheme="minorEastAsia"/>
                <w:color w:val="000000"/>
                <w:kern w:val="0"/>
                <w:sz w:val="22"/>
                <w:szCs w:val="22"/>
                <w:lang w:val="en-US" w:eastAsia="zh-CN" w:bidi="ar"/>
              </w:rPr>
              <w:t>石质山地造林技术规程》(DB34/T1695-2012）</w:t>
            </w:r>
            <w:r>
              <w:rPr>
                <w:rFonts w:hint="eastAsia" w:asciiTheme="minorEastAsia" w:hAnsiTheme="minorEastAsia" w:cstheme="minorEastAsia"/>
                <w:color w:val="000000"/>
                <w:kern w:val="0"/>
                <w:sz w:val="22"/>
                <w:szCs w:val="22"/>
                <w:lang w:val="en-US" w:eastAsia="zh-CN" w:bidi="ar"/>
              </w:rPr>
              <w:t>技术要求</w:t>
            </w:r>
          </w:p>
          <w:p w14:paraId="2CB6A24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0" w:firstLineChars="0"/>
              <w:jc w:val="left"/>
              <w:textAlignment w:val="center"/>
              <w:rPr>
                <w:rFonts w:hint="eastAsia" w:asciiTheme="minorEastAsia" w:hAnsiTheme="minorEastAsia" w:eastAsiaTheme="minorEastAsia" w:cstheme="minorEastAsia"/>
                <w:sz w:val="22"/>
                <w:szCs w:val="22"/>
                <w:lang w:val="en-US" w:eastAsia="zh-CN"/>
              </w:rPr>
            </w:pPr>
          </w:p>
        </w:tc>
        <w:tc>
          <w:tcPr>
            <w:tcW w:w="589" w:type="dxa"/>
            <w:shd w:val="clear" w:color="auto" w:fill="auto"/>
            <w:vAlign w:val="center"/>
          </w:tcPr>
          <w:p w14:paraId="44DD7CE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w w:val="90"/>
                <w:kern w:val="2"/>
                <w:sz w:val="22"/>
                <w:szCs w:val="22"/>
                <w:vertAlign w:val="baseline"/>
                <w:lang w:val="en-US" w:eastAsia="zh-CN" w:bidi="ar-SA"/>
              </w:rPr>
            </w:pPr>
            <w:r>
              <w:rPr>
                <w:rFonts w:hint="eastAsia" w:asciiTheme="minorEastAsia" w:hAnsiTheme="minorEastAsia" w:cstheme="minorEastAsia"/>
                <w:i w:val="0"/>
                <w:iCs w:val="0"/>
                <w:color w:val="000000"/>
                <w:kern w:val="0"/>
                <w:sz w:val="22"/>
                <w:szCs w:val="22"/>
                <w:u w:val="none"/>
                <w:lang w:val="en-US" w:eastAsia="zh-CN" w:bidi="ar"/>
              </w:rPr>
              <w:t>m³</w:t>
            </w:r>
          </w:p>
        </w:tc>
        <w:tc>
          <w:tcPr>
            <w:tcW w:w="936" w:type="dxa"/>
            <w:vAlign w:val="center"/>
          </w:tcPr>
          <w:p w14:paraId="43FD479C">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cstheme="minorEastAsia"/>
                <w:i w:val="0"/>
                <w:iCs w:val="0"/>
                <w:color w:val="000000"/>
                <w:kern w:val="0"/>
                <w:sz w:val="22"/>
                <w:szCs w:val="22"/>
                <w:u w:val="none"/>
                <w:lang w:val="en-US" w:eastAsia="zh-CN" w:bidi="ar"/>
              </w:rPr>
            </w:pPr>
            <w:r>
              <w:rPr>
                <w:rFonts w:hint="eastAsia" w:asciiTheme="minorEastAsia" w:hAnsiTheme="minorEastAsia" w:cstheme="minorEastAsia"/>
                <w:i w:val="0"/>
                <w:iCs w:val="0"/>
                <w:color w:val="000000"/>
                <w:kern w:val="0"/>
                <w:sz w:val="22"/>
                <w:szCs w:val="22"/>
                <w:u w:val="none"/>
                <w:lang w:val="en-US" w:eastAsia="zh-CN" w:bidi="ar"/>
              </w:rPr>
              <w:t>102164</w:t>
            </w:r>
          </w:p>
        </w:tc>
        <w:tc>
          <w:tcPr>
            <w:tcW w:w="1084" w:type="dxa"/>
            <w:vAlign w:val="center"/>
          </w:tcPr>
          <w:p w14:paraId="25381791">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2"/>
                <w:szCs w:val="22"/>
                <w:vertAlign w:val="baseline"/>
                <w:lang w:val="en-US" w:eastAsia="zh-CN"/>
              </w:rPr>
            </w:pPr>
          </w:p>
        </w:tc>
        <w:tc>
          <w:tcPr>
            <w:tcW w:w="1053" w:type="dxa"/>
            <w:vAlign w:val="center"/>
          </w:tcPr>
          <w:p w14:paraId="103D7131">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2"/>
                <w:szCs w:val="22"/>
                <w:vertAlign w:val="baseline"/>
                <w:lang w:val="en-US" w:eastAsia="zh-CN"/>
              </w:rPr>
            </w:pPr>
          </w:p>
        </w:tc>
        <w:tc>
          <w:tcPr>
            <w:tcW w:w="1217" w:type="dxa"/>
            <w:vAlign w:val="center"/>
          </w:tcPr>
          <w:p w14:paraId="74200C14">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2"/>
                <w:szCs w:val="22"/>
                <w:vertAlign w:val="baseline"/>
                <w:lang w:val="en-US" w:eastAsia="zh-CN"/>
              </w:rPr>
            </w:pPr>
          </w:p>
        </w:tc>
      </w:tr>
      <w:tr w14:paraId="52FF5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562" w:type="dxa"/>
            <w:vAlign w:val="center"/>
          </w:tcPr>
          <w:p w14:paraId="344E0E7E">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cstheme="minorEastAsia"/>
                <w:i w:val="0"/>
                <w:iCs w:val="0"/>
                <w:color w:val="000000"/>
                <w:kern w:val="0"/>
                <w:sz w:val="22"/>
                <w:szCs w:val="22"/>
                <w:u w:val="none"/>
                <w:lang w:val="en-US" w:eastAsia="zh-CN" w:bidi="ar"/>
              </w:rPr>
              <w:t>3</w:t>
            </w:r>
          </w:p>
        </w:tc>
        <w:tc>
          <w:tcPr>
            <w:tcW w:w="715" w:type="dxa"/>
            <w:vAlign w:val="center"/>
          </w:tcPr>
          <w:p w14:paraId="33E48625">
            <w:pPr>
              <w:keepNext w:val="0"/>
              <w:keepLines w:val="0"/>
              <w:pageBreakBefore w:val="0"/>
              <w:widowControl/>
              <w:suppressLineNumbers w:val="0"/>
              <w:kinsoku/>
              <w:wordWrap/>
              <w:overflowPunct/>
              <w:topLinePunct w:val="0"/>
              <w:autoSpaceDE/>
              <w:autoSpaceDN/>
              <w:bidi w:val="0"/>
              <w:adjustRightInd/>
              <w:snapToGrid/>
              <w:spacing w:line="360" w:lineRule="auto"/>
              <w:jc w:val="left"/>
              <w:rPr>
                <w:rFonts w:hint="eastAsia" w:ascii="宋体" w:hAnsi="宋体" w:eastAsia="宋体" w:cs="宋体"/>
                <w:sz w:val="22"/>
                <w:szCs w:val="22"/>
              </w:rPr>
            </w:pPr>
            <w:r>
              <w:rPr>
                <w:rFonts w:hint="eastAsia" w:ascii="宋体" w:hAnsi="宋体" w:eastAsia="宋体" w:cs="宋体"/>
                <w:color w:val="000000"/>
                <w:kern w:val="0"/>
                <w:sz w:val="22"/>
                <w:szCs w:val="22"/>
                <w:lang w:val="en-US" w:eastAsia="zh-CN" w:bidi="ar"/>
              </w:rPr>
              <w:t>场地平整</w:t>
            </w:r>
          </w:p>
          <w:p w14:paraId="2464A54B">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cstheme="minorEastAsia"/>
                <w:i w:val="0"/>
                <w:iCs w:val="0"/>
                <w:color w:val="000000"/>
                <w:kern w:val="0"/>
                <w:sz w:val="22"/>
                <w:szCs w:val="22"/>
                <w:u w:val="none"/>
                <w:lang w:val="en-US" w:eastAsia="zh-CN" w:bidi="ar"/>
              </w:rPr>
            </w:pPr>
          </w:p>
        </w:tc>
        <w:tc>
          <w:tcPr>
            <w:tcW w:w="2898" w:type="dxa"/>
            <w:vAlign w:val="center"/>
          </w:tcPr>
          <w:p w14:paraId="7EBA25A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0" w:firstLineChars="0"/>
              <w:jc w:val="left"/>
              <w:textAlignment w:val="center"/>
              <w:rPr>
                <w:rFonts w:hint="default" w:asciiTheme="minorEastAsia" w:hAnsiTheme="minorEastAsia" w:eastAsiaTheme="minorEastAsia" w:cstheme="minorEastAsia"/>
                <w:sz w:val="22"/>
                <w:szCs w:val="22"/>
                <w:lang w:val="en-US" w:eastAsia="zh-CN"/>
              </w:rPr>
            </w:pPr>
            <w:r>
              <w:rPr>
                <w:rFonts w:hint="eastAsia" w:asciiTheme="minorEastAsia" w:hAnsiTheme="minorEastAsia" w:cstheme="minorEastAsia"/>
                <w:sz w:val="22"/>
                <w:szCs w:val="22"/>
                <w:lang w:val="en-US" w:eastAsia="zh-CN"/>
              </w:rPr>
              <w:t>达到要求的标高</w:t>
            </w:r>
          </w:p>
        </w:tc>
        <w:tc>
          <w:tcPr>
            <w:tcW w:w="589" w:type="dxa"/>
            <w:shd w:val="clear" w:color="auto" w:fill="auto"/>
            <w:vAlign w:val="center"/>
          </w:tcPr>
          <w:p w14:paraId="790365C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cstheme="minorEastAsia"/>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936" w:type="dxa"/>
            <w:shd w:val="clear" w:color="auto" w:fill="auto"/>
            <w:vAlign w:val="center"/>
          </w:tcPr>
          <w:p w14:paraId="51A040D9">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cstheme="minorEastAsia"/>
                <w:i w:val="0"/>
                <w:iCs w:val="0"/>
                <w:color w:val="000000"/>
                <w:kern w:val="0"/>
                <w:sz w:val="22"/>
                <w:szCs w:val="22"/>
                <w:u w:val="none"/>
                <w:lang w:val="en-US" w:eastAsia="zh-CN" w:bidi="ar"/>
              </w:rPr>
              <w:t>102164</w:t>
            </w:r>
          </w:p>
        </w:tc>
        <w:tc>
          <w:tcPr>
            <w:tcW w:w="1084" w:type="dxa"/>
            <w:vAlign w:val="center"/>
          </w:tcPr>
          <w:p w14:paraId="30F5F4A3">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2"/>
                <w:szCs w:val="22"/>
                <w:vertAlign w:val="baseline"/>
                <w:lang w:val="en-US" w:eastAsia="zh-CN"/>
              </w:rPr>
            </w:pPr>
          </w:p>
        </w:tc>
        <w:tc>
          <w:tcPr>
            <w:tcW w:w="1053" w:type="dxa"/>
            <w:vAlign w:val="center"/>
          </w:tcPr>
          <w:p w14:paraId="32BC85C8">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2"/>
                <w:szCs w:val="22"/>
                <w:vertAlign w:val="baseline"/>
                <w:lang w:val="en-US" w:eastAsia="zh-CN"/>
              </w:rPr>
            </w:pPr>
          </w:p>
        </w:tc>
        <w:tc>
          <w:tcPr>
            <w:tcW w:w="1217" w:type="dxa"/>
            <w:vAlign w:val="center"/>
          </w:tcPr>
          <w:p w14:paraId="4DEEBCDA">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2"/>
                <w:szCs w:val="22"/>
                <w:vertAlign w:val="baseline"/>
                <w:lang w:val="en-US" w:eastAsia="zh-CN"/>
              </w:rPr>
            </w:pPr>
          </w:p>
        </w:tc>
      </w:tr>
    </w:tbl>
    <w:p w14:paraId="73B1CF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pPr>
    </w:p>
    <w:p w14:paraId="41EDCB2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ascii="Arial" w:hAnsi="Arial" w:cs="Arial"/>
          <w:i w:val="0"/>
          <w:iCs w:val="0"/>
          <w:caps w:val="0"/>
          <w:color w:val="444444"/>
          <w:spacing w:val="0"/>
          <w:sz w:val="24"/>
          <w:szCs w:val="24"/>
        </w:rPr>
      </w:pPr>
      <w:r>
        <w:rPr>
          <w:rFonts w:hint="eastAsia" w:ascii="Arial" w:hAnsi="Arial" w:cs="Arial"/>
          <w:b/>
          <w:bCs/>
          <w:i w:val="0"/>
          <w:iCs w:val="0"/>
          <w:caps w:val="0"/>
          <w:color w:val="444444"/>
          <w:spacing w:val="0"/>
          <w:kern w:val="0"/>
          <w:sz w:val="24"/>
          <w:szCs w:val="24"/>
          <w:shd w:val="clear" w:fill="FFFFFF"/>
          <w:vertAlign w:val="baseline"/>
          <w:lang w:val="en-US" w:eastAsia="zh-CN" w:bidi="ar"/>
        </w:rPr>
        <w:t>三</w:t>
      </w:r>
      <w:r>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t>、现场情况介绍</w:t>
      </w:r>
    </w:p>
    <w:p w14:paraId="6CCFB6E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1、现场场地: 场地内部三通一平，具备施工条件。</w:t>
      </w:r>
    </w:p>
    <w:p w14:paraId="2A74740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2、现场临时设施：招标人提供工程现场临时用水、用电，用水、用电等费用由投标人承担。</w:t>
      </w:r>
    </w:p>
    <w:p w14:paraId="30424B3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3、临时用电用水：招标人提供临时用电至二级配电箱，二级配电箱以后的所有照明、动力电缆、开关箱及相关配件材料等均由投标人负责。现场施工用水以及相关配件均含在分包范围。</w:t>
      </w:r>
    </w:p>
    <w:p w14:paraId="2250F90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四、质量要求</w:t>
      </w:r>
    </w:p>
    <w:p w14:paraId="263A064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1、工程质量要求: 合格</w:t>
      </w:r>
    </w:p>
    <w:p w14:paraId="1332C68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default"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2、工期要求</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：30天</w:t>
      </w:r>
    </w:p>
    <w:p w14:paraId="5AEB74A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2.1、签订合同后应立即准备进场施工，具体以甲方通知为准。</w:t>
      </w:r>
    </w:p>
    <w:p w14:paraId="0C9A15A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2.2、投标方以招标方工程进度计划为依据，必须确保各阶段计划地实现。</w:t>
      </w:r>
    </w:p>
    <w:p w14:paraId="11DFAB3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2.3、对于以下原因造成推迟工期的，经招标人确认，工期相应顺延。</w:t>
      </w:r>
    </w:p>
    <w:p w14:paraId="2DF9CCD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2.3.1、因战争、动乱、自然灾害或非招标人、投标人责任造成的爆炸、火灾等不可抗力；</w:t>
      </w:r>
    </w:p>
    <w:p w14:paraId="0F5157E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2.3.2、投标人以书面形式提出申请，但仍未能从招标方获得施工批示、图纸等，致使施工不能正常进行的；</w:t>
      </w:r>
    </w:p>
    <w:p w14:paraId="0CD5DFC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2.3.3、招标人同意工期顺延的其他情况。</w:t>
      </w:r>
    </w:p>
    <w:p w14:paraId="145BF8D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2.4、若投标人无故未按工期完工，延迟5日内（包含5日），每天扣违约金5000元；延迟5日以上15日以下（包含15日），每天扣违约金10000元；延长15日以上30日以下（包含30日），每天扣违约金20000元；延长超过30日，招标人有权解除与投标人签订的合同。</w:t>
      </w:r>
    </w:p>
    <w:p w14:paraId="226D7E8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240" w:firstLineChars="100"/>
        <w:jc w:val="left"/>
        <w:textAlignment w:val="baseline"/>
        <w:rPr>
          <w:rFonts w:hint="eastAsia" w:asciiTheme="minorEastAsia" w:hAnsiTheme="minorEastAsia" w:eastAsiaTheme="minorEastAsia" w:cstheme="minorEastAsia"/>
          <w:b w:val="0"/>
          <w:bCs w:val="0"/>
          <w:i w:val="0"/>
          <w:iCs w:val="0"/>
          <w:caps w:val="0"/>
          <w:color w:val="444444"/>
          <w:spacing w:val="0"/>
          <w:sz w:val="24"/>
          <w:szCs w:val="24"/>
        </w:rPr>
      </w:pPr>
      <w:r>
        <w:rPr>
          <w:rFonts w:hint="eastAsia" w:asciiTheme="minorEastAsia" w:hAnsiTheme="minorEastAsia" w:eastAsiaTheme="minorEastAsia" w:cstheme="minorEastAsia"/>
          <w:b w:val="0"/>
          <w:bCs w:val="0"/>
          <w:i w:val="0"/>
          <w:iCs w:val="0"/>
          <w:caps w:val="0"/>
          <w:color w:val="444444"/>
          <w:spacing w:val="0"/>
          <w:kern w:val="0"/>
          <w:sz w:val="24"/>
          <w:szCs w:val="24"/>
          <w:shd w:val="clear" w:fill="FFFFFF"/>
          <w:vertAlign w:val="baseline"/>
          <w:lang w:val="en-US" w:eastAsia="zh-CN" w:bidi="ar"/>
        </w:rPr>
        <w:t>3、安全生产要求：</w:t>
      </w:r>
    </w:p>
    <w:p w14:paraId="3D3F1AC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3.1、坚持“安全第一、预防为主、综合治理”安全生产方针，必须做到无重伤以上事故,无重大机械伤害事故，无食物中毒事故，无火警事故。</w:t>
      </w:r>
    </w:p>
    <w:p w14:paraId="291E37A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3.2、投标人应根据国家关于安全生产的有关规定和要求，严格执行《安全生产法》、《建设工程安全生产管理条例》、《中华人民共和国道路交通管理条例》及招标人的相关管理制度，建立健全《安全生产管理体系》和《安全生产责任制》。</w:t>
      </w:r>
    </w:p>
    <w:p w14:paraId="422287D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3.3、特殊工种操作人员及各工种操作人员须经有关部门培训后，必须持证上岗。</w:t>
      </w:r>
    </w:p>
    <w:p w14:paraId="24720EA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3.4、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13BC6B8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3.5、认真贯彻“预防为主、防消结合”的工作方针。严格执行《</w:t>
      </w:r>
      <w:r>
        <w:rPr>
          <w:rFonts w:hint="eastAsia" w:asciiTheme="minorEastAsia" w:hAnsiTheme="minorEastAsia" w:eastAsiaTheme="minorEastAsia" w:cstheme="minorEastAsia"/>
          <w:i w:val="0"/>
          <w:iCs w:val="0"/>
          <w:caps w:val="0"/>
          <w:color w:val="333333"/>
          <w:spacing w:val="0"/>
          <w:kern w:val="0"/>
          <w:sz w:val="24"/>
          <w:szCs w:val="24"/>
          <w:u w:val="none"/>
          <w:shd w:val="clear" w:fill="FFFFFF"/>
          <w:vertAlign w:val="baseline"/>
          <w:lang w:val="en-US" w:eastAsia="zh-CN" w:bidi="ar"/>
        </w:rPr>
        <w:fldChar w:fldCharType="begin"/>
      </w:r>
      <w:r>
        <w:rPr>
          <w:rFonts w:hint="eastAsia" w:asciiTheme="minorEastAsia" w:hAnsiTheme="minorEastAsia" w:eastAsiaTheme="minorEastAsia" w:cstheme="minorEastAsia"/>
          <w:i w:val="0"/>
          <w:iCs w:val="0"/>
          <w:caps w:val="0"/>
          <w:color w:val="333333"/>
          <w:spacing w:val="0"/>
          <w:kern w:val="0"/>
          <w:sz w:val="24"/>
          <w:szCs w:val="24"/>
          <w:u w:val="none"/>
          <w:shd w:val="clear" w:fill="FFFFFF"/>
          <w:vertAlign w:val="baseline"/>
          <w:lang w:val="en-US" w:eastAsia="zh-CN" w:bidi="ar"/>
        </w:rPr>
        <w:instrText xml:space="preserve"> HYPERLINK "https://zhidao.baidu.com/search?word=%E5%BB%BA%E7%AD%91%E6%96%BD%E5%B7%A5%E5%AE%89%E5%85%A8%E6%A3%80%E6%9F%A5%E6%A0%87%E5%87%86&amp;fr=iknow_pc_qb_highlight" </w:instrText>
      </w:r>
      <w:r>
        <w:rPr>
          <w:rFonts w:hint="eastAsia" w:asciiTheme="minorEastAsia" w:hAnsiTheme="minorEastAsia" w:eastAsiaTheme="minorEastAsia" w:cstheme="minorEastAsia"/>
          <w:i w:val="0"/>
          <w:iCs w:val="0"/>
          <w:caps w:val="0"/>
          <w:color w:val="333333"/>
          <w:spacing w:val="0"/>
          <w:kern w:val="0"/>
          <w:sz w:val="24"/>
          <w:szCs w:val="24"/>
          <w:u w:val="none"/>
          <w:shd w:val="clear" w:fill="FFFFFF"/>
          <w:vertAlign w:val="baseline"/>
          <w:lang w:val="en-US" w:eastAsia="zh-CN" w:bidi="ar"/>
        </w:rPr>
        <w:fldChar w:fldCharType="separate"/>
      </w:r>
      <w:r>
        <w:rPr>
          <w:rStyle w:val="9"/>
          <w:rFonts w:hint="eastAsia" w:asciiTheme="minorEastAsia" w:hAnsiTheme="minorEastAsia" w:eastAsiaTheme="minorEastAsia" w:cstheme="minorEastAsia"/>
          <w:i w:val="0"/>
          <w:iCs w:val="0"/>
          <w:caps w:val="0"/>
          <w:color w:val="333333"/>
          <w:spacing w:val="0"/>
          <w:sz w:val="24"/>
          <w:szCs w:val="24"/>
          <w:u w:val="none"/>
          <w:shd w:val="clear" w:fill="FFFFFF"/>
          <w:vertAlign w:val="baseline"/>
        </w:rPr>
        <w:t>建筑施工安全检查标准</w:t>
      </w:r>
      <w:r>
        <w:rPr>
          <w:rFonts w:hint="eastAsia" w:asciiTheme="minorEastAsia" w:hAnsiTheme="minorEastAsia" w:eastAsiaTheme="minorEastAsia" w:cstheme="minorEastAsia"/>
          <w:i w:val="0"/>
          <w:iCs w:val="0"/>
          <w:caps w:val="0"/>
          <w:color w:val="333333"/>
          <w:spacing w:val="0"/>
          <w:kern w:val="0"/>
          <w:sz w:val="24"/>
          <w:szCs w:val="24"/>
          <w:u w:val="none"/>
          <w:shd w:val="clear" w:fill="FFFFFF"/>
          <w:vertAlign w:val="baseline"/>
          <w:lang w:val="en-US" w:eastAsia="zh-CN" w:bidi="ar"/>
        </w:rPr>
        <w:fldChar w:fldCharType="end"/>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》、《施工现场临时用电安全技术规范》、《建筑施工高处作业安全技术规范》和《建筑施工现场安全生产管理规程》等相关规范要求，建立防火、保卫制度，落实责任、规范施工，保证安全。</w:t>
      </w:r>
    </w:p>
    <w:p w14:paraId="18FDBD6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3.6、禁止在施工中违章指挥和违章作业。对可能影响人身安全的作业程序、作业条件、要提出改进意见，有权对违章指挥进行检举和控告。</w:t>
      </w:r>
    </w:p>
    <w:p w14:paraId="49AB1D8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3.7、投标方驾驶人员必须持证上岗，严格执行《平安技术操作规程》进行施工，不准违章作业，不得擅自离开工作岗位，不准将车辆交给非本车操作人员操作，工作时，思想集中，严禁酒后操机作业，确保安全。</w:t>
      </w:r>
    </w:p>
    <w:p w14:paraId="7BE9021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3.8、在路上会车时应减速慢行，施工便道上、村庄路上严禁超车。行驶时发觉前方路上有状况严禁抢道行驶，先等一会，严禁私自离开车辆，前方避让后在通行，如时间较长应下车查看，在保证可以平安通过后在前行。</w:t>
      </w:r>
    </w:p>
    <w:p w14:paraId="5581BEB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3.9、行驶在施工便道时、现场作业时，应留意上空电线，防止电击伤人，施工现场在倒车回转车辆必需有人看管指挥，有足够的照明，司机应把门窗打开能够听到现场指挥信号，倒车没肯定把握头应探出门窗有足够视线下方可倒车回转。</w:t>
      </w:r>
    </w:p>
    <w:p w14:paraId="117E5F5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3.10、车辆的操作驾驶人员，必需在进场前车辆的技术状态、平安设施等进行平安检查；车辆进入施工现场前，应查明行驶线路上便道、承载力量和路况，确保车辆的平安通过；察看施工现场作业点是否有足够的工作平台，是否现场回转、倒车受限，车辆在施工现场停放时，必需留意选择好停放地点，关好驾驶室，有驻车制动装置的要拉好，坡道上停车时，要打好掩木，夜间作业时照明系统要完好；作业完毕退场后进行例行保养，消退事故隐患，保持良好的技术状态。</w:t>
      </w:r>
    </w:p>
    <w:p w14:paraId="61CAE9E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3.11、车辆的操作驾驶人员必需接受项目的各项平安生产训练。</w:t>
      </w:r>
    </w:p>
    <w:p w14:paraId="27B924D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3.12、驾驶操作人员必需对该设备的使用操作与修理保养，坚持每日例行检查与定期保养并做好记录。确保机械平安、完好的运转。</w:t>
      </w:r>
    </w:p>
    <w:p w14:paraId="5FF5E4A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3.13、严禁开私自改装车辆进行土方运输。</w:t>
      </w:r>
    </w:p>
    <w:p w14:paraId="398033E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3.14、涉及乙方违反国家、地市、企业及项目相关安全要求的行为，甲方有权按照公司制度给予相应处罚，费用由乙方直接缴纳现金或满足甲方财务要求的方式而无需乙方签字确认。</w:t>
      </w:r>
    </w:p>
    <w:p w14:paraId="612795B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val="0"/>
          <w:bCs w:val="0"/>
          <w:i w:val="0"/>
          <w:iCs w:val="0"/>
          <w:caps w:val="0"/>
          <w:color w:val="444444"/>
          <w:spacing w:val="0"/>
          <w:kern w:val="0"/>
          <w:sz w:val="24"/>
          <w:szCs w:val="24"/>
          <w:shd w:val="clear" w:fill="FFFFFF"/>
          <w:vertAlign w:val="baseline"/>
          <w:lang w:val="en-US" w:eastAsia="zh-CN" w:bidi="ar"/>
        </w:rPr>
        <w:t>4、重大伤亡及其他安全事故处理：</w:t>
      </w:r>
    </w:p>
    <w:p w14:paraId="2804DC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4.1、发生重大伤亡及其他安全事故，招、投标双方应采取紧急措施防止事态扩大并全力组织抢救伤者，保护事故现场，如因抢救伤者必须移动现场设备，须做出文字及影像记录。</w:t>
      </w:r>
    </w:p>
    <w:p w14:paraId="183495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4.2、招标人有权对投标人的安全隐患提出整改意见；投标人未及时整改的，招标人有权自行或委托他人整改，发生的费用由投标人承担。施工过程中违反有关规定而发生人员伤亡、机械和财产损失等由投标人承担主要责任，并承担所有95%的损失，招标人承担连带责任，并承担5%的损失。在招标人与投标人对事故责任认定有争议时，按政府有关部门的认定处理。</w:t>
      </w:r>
    </w:p>
    <w:p w14:paraId="07035D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eastAsia" w:asciiTheme="minorEastAsia" w:hAnsiTheme="minorEastAsia" w:eastAsiaTheme="minorEastAsia" w:cstheme="minorEastAsia"/>
          <w:b w:val="0"/>
          <w:bCs w:val="0"/>
          <w:i w:val="0"/>
          <w:iCs w:val="0"/>
          <w:caps w:val="0"/>
          <w:color w:val="444444"/>
          <w:spacing w:val="0"/>
          <w:sz w:val="24"/>
          <w:szCs w:val="24"/>
        </w:rPr>
      </w:pPr>
      <w:r>
        <w:rPr>
          <w:rFonts w:hint="eastAsia" w:asciiTheme="minorEastAsia" w:hAnsiTheme="minorEastAsia" w:eastAsiaTheme="minorEastAsia" w:cstheme="minorEastAsia"/>
          <w:b w:val="0"/>
          <w:bCs w:val="0"/>
          <w:i w:val="0"/>
          <w:iCs w:val="0"/>
          <w:caps w:val="0"/>
          <w:color w:val="444444"/>
          <w:spacing w:val="0"/>
          <w:kern w:val="0"/>
          <w:sz w:val="24"/>
          <w:szCs w:val="24"/>
          <w:shd w:val="clear" w:fill="FFFFFF"/>
          <w:vertAlign w:val="baseline"/>
          <w:lang w:val="en-US" w:eastAsia="zh-CN" w:bidi="ar"/>
        </w:rPr>
        <w:t>5、其他要求：</w:t>
      </w:r>
    </w:p>
    <w:p w14:paraId="10BD2B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5.1、投标人应服从招标人项目经理部的安排、指挥、调配。投标人应按招标人的管理要求，配置项目现场管理人员，特殊工种作业人员应持证上岗，未经项目部同意不得中途更换现场管理人员。</w:t>
      </w:r>
    </w:p>
    <w:p w14:paraId="6D050C1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5.2、投标人应保证按招标人审批的安全技术措施贯彻执行，且具有完成招标人工程工期、安全、质量、文明施工等计划的能力和措施办法，并且有足够的流动资金给予支持。</w:t>
      </w:r>
    </w:p>
    <w:p w14:paraId="7E3549A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5.3、</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回填后</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压实度试验满足工程验收规范要求并承担试验费用，工程量按实计量。</w:t>
      </w:r>
    </w:p>
    <w:p w14:paraId="3E28B21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5.4、如因投标人原因给总包单位造成影响和处罚的，50万元以内损失，按照同等金额违约金从投标人的履约保证金中扣除，超出50万元经济损失，全额扣除履约保证金，超出部分从工程款中直接扣除，给总包单位造成其他恶劣影响的，全额扣除工程款。</w:t>
      </w:r>
    </w:p>
    <w:p w14:paraId="340089B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482" w:firstLineChars="200"/>
        <w:jc w:val="left"/>
        <w:textAlignment w:val="baseline"/>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b/>
          <w:bCs/>
          <w:i w:val="0"/>
          <w:iCs w:val="0"/>
          <w:caps w:val="0"/>
          <w:color w:val="444444"/>
          <w:spacing w:val="0"/>
          <w:sz w:val="24"/>
          <w:szCs w:val="24"/>
          <w:shd w:val="clear" w:fill="FFFFFF"/>
          <w:lang w:val="en-US" w:eastAsia="zh-CN"/>
        </w:rPr>
        <w:t>五、</w:t>
      </w:r>
      <w:r>
        <w:rPr>
          <w:rFonts w:hint="eastAsia" w:asciiTheme="minorEastAsia" w:hAnsiTheme="minorEastAsia" w:eastAsiaTheme="minorEastAsia" w:cstheme="minorEastAsia"/>
          <w:b/>
          <w:bCs/>
          <w:i w:val="0"/>
          <w:iCs w:val="0"/>
          <w:caps w:val="0"/>
          <w:color w:val="444444"/>
          <w:spacing w:val="0"/>
          <w:sz w:val="24"/>
          <w:szCs w:val="24"/>
          <w:shd w:val="clear" w:fill="FFFFFF"/>
        </w:rPr>
        <w:t>拟定投标人原则</w:t>
      </w: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w:t>
      </w:r>
    </w:p>
    <w:p w14:paraId="1DDCAF02">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inorEastAsia" w:hAnsiTheme="minorEastAsia" w:eastAsiaTheme="minorEastAsia" w:cstheme="minorEastAsia"/>
          <w:i w:val="0"/>
          <w:iCs w:val="0"/>
          <w:caps w:val="0"/>
          <w:color w:val="444444"/>
          <w:spacing w:val="0"/>
          <w:sz w:val="24"/>
          <w:szCs w:val="24"/>
          <w:shd w:val="clear" w:fill="FFFFFF"/>
        </w:rPr>
      </w:pPr>
      <w:r>
        <w:rPr>
          <w:rFonts w:hint="eastAsia" w:asciiTheme="minorEastAsia" w:hAnsiTheme="minorEastAsia" w:eastAsiaTheme="minorEastAsia" w:cstheme="minorEastAsia"/>
          <w:i w:val="0"/>
          <w:iCs w:val="0"/>
          <w:caps w:val="0"/>
          <w:color w:val="444444"/>
          <w:spacing w:val="0"/>
          <w:sz w:val="24"/>
          <w:szCs w:val="24"/>
          <w:shd w:val="clear" w:fill="FFFFFF"/>
        </w:rPr>
        <w:t>有投标意向的具备相应专业资质的企业需具有履行合同所必须的设备材料和专业技术能力，具有良好的商业信誉和健全的财务制度</w:t>
      </w:r>
    </w:p>
    <w:p w14:paraId="42D8F4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六、</w:t>
      </w:r>
      <w:r>
        <w:rPr>
          <w:rFonts w:hint="eastAsia" w:asciiTheme="minorEastAsia" w:hAnsiTheme="minorEastAsia" w:eastAsiaTheme="minorEastAsia" w:cstheme="minorEastAsia"/>
          <w:b/>
          <w:bCs/>
          <w:i w:val="0"/>
          <w:iCs w:val="0"/>
          <w:caps w:val="0"/>
          <w:color w:val="444444"/>
          <w:spacing w:val="0"/>
          <w:sz w:val="24"/>
          <w:szCs w:val="24"/>
          <w:shd w:val="clear" w:fill="FFFFFF"/>
        </w:rPr>
        <w:t>招标文件的澄清</w:t>
      </w:r>
    </w:p>
    <w:p w14:paraId="758F19E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480" w:leftChars="0" w:right="0" w:rightChars="0"/>
        <w:jc w:val="left"/>
        <w:textAlignment w:val="baseline"/>
        <w:rPr>
          <w:rFonts w:hint="eastAsia" w:asciiTheme="minorEastAsia" w:hAnsiTheme="minorEastAsia" w:eastAsiaTheme="minorEastAsia" w:cstheme="minorEastAsia"/>
          <w:i w:val="0"/>
          <w:iCs w:val="0"/>
          <w:caps w:val="0"/>
          <w:color w:val="444444"/>
          <w:spacing w:val="0"/>
          <w:sz w:val="24"/>
          <w:szCs w:val="24"/>
          <w:shd w:val="clear" w:fill="FFFFFF"/>
        </w:rPr>
      </w:pPr>
      <w:r>
        <w:rPr>
          <w:rFonts w:hint="eastAsia" w:asciiTheme="minorEastAsia" w:hAnsiTheme="minorEastAsia" w:eastAsiaTheme="minorEastAsia" w:cstheme="minorEastAsia"/>
          <w:i w:val="0"/>
          <w:iCs w:val="0"/>
          <w:caps w:val="0"/>
          <w:color w:val="444444"/>
          <w:spacing w:val="0"/>
          <w:sz w:val="24"/>
          <w:szCs w:val="24"/>
          <w:shd w:val="clear" w:fill="FFFFFF"/>
        </w:rPr>
        <w:t>招标文件是招标人依据有关法律法规以及分包工程项目的特点和需要编制的，用以阐明工程发包范围、工作内容、标准和要求，技术规范、标准以及表格和补充条款、合同条款，招投标程序、竞价办法等项内容，是投标人编制投标文件的依据，投标人应认真审阅招标文件的内容来编织投标文件。如果投标人的投标文件不能实质性地响应招标文件要求，责任由投标人自负。</w:t>
      </w:r>
    </w:p>
    <w:p w14:paraId="37CD32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七、</w:t>
      </w:r>
      <w:r>
        <w:rPr>
          <w:rFonts w:hint="eastAsia" w:asciiTheme="minorEastAsia" w:hAnsiTheme="minorEastAsia" w:eastAsiaTheme="minorEastAsia" w:cstheme="minorEastAsia"/>
          <w:b/>
          <w:bCs/>
          <w:i w:val="0"/>
          <w:iCs w:val="0"/>
          <w:caps w:val="0"/>
          <w:color w:val="444444"/>
          <w:spacing w:val="0"/>
          <w:sz w:val="24"/>
          <w:szCs w:val="24"/>
          <w:shd w:val="clear" w:fill="FFFFFF"/>
        </w:rPr>
        <w:t>评审与定标原则</w:t>
      </w:r>
    </w:p>
    <w:p w14:paraId="42CD40A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1、本工程由招标人组织的评审人员进行评审。</w:t>
      </w:r>
    </w:p>
    <w:p w14:paraId="1F5D063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2、评审：由招标人自行组织人员进行评审，招标人设有最高投标限价并在评审现场公布，超过最高限价的投标将被否定,招标人不保证最低投标为中标价。招标人无需对中标合理性向任何投标人作出解释。</w:t>
      </w:r>
    </w:p>
    <w:p w14:paraId="125A861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3、定标：本次招标达到三家及以上公司前来投标，进行合理低价中标（不保证最低价中标），不足三家流标。</w:t>
      </w:r>
    </w:p>
    <w:p w14:paraId="4D35ACD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4、严禁投标人以任何形式围标、串标，如发现投标人有围标、串标行为，没收投标保证金，永久清理出招标人合作供应商范围，并由投标人承担由此带来的所有责任。</w:t>
      </w:r>
    </w:p>
    <w:p w14:paraId="7780C6E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p>
    <w:p w14:paraId="27008D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八、</w:t>
      </w:r>
      <w:r>
        <w:rPr>
          <w:rFonts w:hint="eastAsia" w:asciiTheme="minorEastAsia" w:hAnsiTheme="minorEastAsia" w:eastAsiaTheme="minorEastAsia" w:cstheme="minorEastAsia"/>
          <w:b/>
          <w:bCs/>
          <w:i w:val="0"/>
          <w:iCs w:val="0"/>
          <w:caps w:val="0"/>
          <w:color w:val="444444"/>
          <w:spacing w:val="0"/>
          <w:sz w:val="24"/>
          <w:szCs w:val="24"/>
          <w:shd w:val="clear" w:fill="FFFFFF"/>
        </w:rPr>
        <w:t>合同授予原则：</w:t>
      </w:r>
    </w:p>
    <w:p w14:paraId="2CA7BA7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1、竞价结束后，招标人将本次招标结果通知到每个投标人。</w:t>
      </w:r>
    </w:p>
    <w:p w14:paraId="38D6FE8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2、被采纳单位收到《通知书》后，应在</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7</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日内与招标人签订施工合同。投标人不按规定与招标人订立合同的，招标人将保留取消投标人被采纳资格和追究损失赔偿的权利。</w:t>
      </w:r>
    </w:p>
    <w:p w14:paraId="668B32E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 全部投标文件资料作为合同签订的有关依据，与合同同样具有相应的法律效力。</w:t>
      </w:r>
    </w:p>
    <w:p w14:paraId="13F42AF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九、招标人与招标联系人：</w:t>
      </w:r>
    </w:p>
    <w:p w14:paraId="4B6190E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联系人（商务）：</w:t>
      </w:r>
      <w:r>
        <w:rPr>
          <w:rFonts w:hint="eastAsia" w:asciiTheme="minorEastAsia" w:hAnsiTheme="minorEastAsia" w:cstheme="minorEastAsia"/>
          <w:i w:val="0"/>
          <w:iCs w:val="0"/>
          <w:caps w:val="0"/>
          <w:color w:val="444444"/>
          <w:spacing w:val="0"/>
          <w:kern w:val="0"/>
          <w:sz w:val="24"/>
          <w:szCs w:val="24"/>
          <w:u w:val="single"/>
          <w:shd w:val="clear" w:fill="FFFFFF"/>
          <w:vertAlign w:val="baseline"/>
          <w:lang w:val="en-US" w:eastAsia="zh-CN" w:bidi="ar"/>
        </w:rPr>
        <w:t xml:space="preserve"> </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郭宏雪</w:t>
      </w:r>
      <w:r>
        <w:rPr>
          <w:rFonts w:hint="eastAsia" w:asciiTheme="minorEastAsia" w:hAnsiTheme="minorEastAsia" w:cstheme="minorEastAsia"/>
          <w:i w:val="0"/>
          <w:iCs w:val="0"/>
          <w:caps w:val="0"/>
          <w:color w:val="444444"/>
          <w:spacing w:val="0"/>
          <w:kern w:val="0"/>
          <w:sz w:val="24"/>
          <w:szCs w:val="24"/>
          <w:u w:val="single"/>
          <w:shd w:val="clear" w:fill="FFFFFF"/>
          <w:vertAlign w:val="baseline"/>
          <w:lang w:val="en-US" w:eastAsia="zh-CN" w:bidi="ar"/>
        </w:rPr>
        <w:t xml:space="preserve"> </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电话：</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 xml:space="preserve"> 15395442956 </w:t>
      </w:r>
    </w:p>
    <w:p w14:paraId="12FF5A6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default" w:asciiTheme="minorEastAsia" w:hAnsiTheme="minorEastAsia" w:eastAsiaTheme="minorEastAsia" w:cstheme="minorEastAsia"/>
          <w:i w:val="0"/>
          <w:iCs w:val="0"/>
          <w:caps w:val="0"/>
          <w:color w:val="444444"/>
          <w:spacing w:val="0"/>
          <w:sz w:val="24"/>
          <w:szCs w:val="24"/>
          <w:lang w:val="en-US"/>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施工现场负责人（技术）：</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 xml:space="preserve"> 朱永昊 </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电话：</w:t>
      </w:r>
      <w:r>
        <w:rPr>
          <w:rFonts w:hint="eastAsia" w:asciiTheme="minorEastAsia" w:hAnsiTheme="minorEastAsia" w:cstheme="minorEastAsia"/>
          <w:i w:val="0"/>
          <w:iCs w:val="0"/>
          <w:caps w:val="0"/>
          <w:color w:val="444444"/>
          <w:spacing w:val="0"/>
          <w:kern w:val="0"/>
          <w:sz w:val="24"/>
          <w:szCs w:val="24"/>
          <w:u w:val="single"/>
          <w:shd w:val="clear" w:fill="FFFFFF"/>
          <w:vertAlign w:val="baseline"/>
          <w:lang w:val="en-US" w:eastAsia="zh-CN" w:bidi="ar"/>
        </w:rPr>
        <w:t xml:space="preserve"> </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18655435774</w:t>
      </w:r>
      <w:r>
        <w:rPr>
          <w:rFonts w:hint="eastAsia" w:asciiTheme="minorEastAsia" w:hAnsiTheme="minorEastAsia" w:cstheme="minorEastAsia"/>
          <w:i w:val="0"/>
          <w:iCs w:val="0"/>
          <w:caps w:val="0"/>
          <w:color w:val="444444"/>
          <w:spacing w:val="0"/>
          <w:kern w:val="0"/>
          <w:sz w:val="24"/>
          <w:szCs w:val="24"/>
          <w:u w:val="single"/>
          <w:shd w:val="clear" w:fill="FFFFFF"/>
          <w:vertAlign w:val="baseline"/>
          <w:lang w:val="en-US" w:eastAsia="zh-CN" w:bidi="ar"/>
        </w:rPr>
        <w:t xml:space="preserve"> </w:t>
      </w:r>
    </w:p>
    <w:p w14:paraId="0C27793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十、工程款支付：</w:t>
      </w:r>
    </w:p>
    <w:p w14:paraId="5CA8811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1、工程款支付，投标方必须向招标方提交合法有效的</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9</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%专用增值税发票，否则，工程款不予支付。</w:t>
      </w:r>
    </w:p>
    <w:p w14:paraId="314EC5D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2、本工程无预付款,</w:t>
      </w:r>
    </w:p>
    <w:p w14:paraId="3D4A068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480" w:leftChars="0" w:right="0" w:rightChars="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3、投标方</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验收后进行工程结算</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，工程量必须有完整计算式。</w:t>
      </w:r>
    </w:p>
    <w:p w14:paraId="4DA2ECC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十一、投标保证与履约保证金</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w:t>
      </w:r>
    </w:p>
    <w:p w14:paraId="7C93E93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1、本工程投标保证金为</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5</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0000.00元（</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伍</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万元整），投标保证金汇缴及退付以转账形式进行。投标保证金款项必须从投标人的账户中汇出。投标保证金必须在开标前到达安徽新集矿山建设工程有限公司</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八公山分公司</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银行账户并出具汇款凭证（可随身携带）；</w:t>
      </w:r>
    </w:p>
    <w:p w14:paraId="14B7A9F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投标保证金递交信息如下：</w:t>
      </w:r>
    </w:p>
    <w:p w14:paraId="49FFF9F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lang w:val="en-US"/>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名称：安徽新集矿山建设工程有限公司八公山分公司</w:t>
      </w:r>
    </w:p>
    <w:p w14:paraId="42A1384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账号：</w:t>
      </w:r>
      <w:r>
        <w:rPr>
          <w:rFonts w:hint="eastAsia" w:asciiTheme="minorEastAsia" w:hAnsiTheme="minorEastAsia" w:eastAsiaTheme="minorEastAsia" w:cstheme="minorEastAsia"/>
          <w:sz w:val="24"/>
          <w:szCs w:val="24"/>
        </w:rPr>
        <w:t>344071100013000558588</w:t>
      </w:r>
    </w:p>
    <w:p w14:paraId="01B2A4B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开户行：</w:t>
      </w:r>
      <w:r>
        <w:rPr>
          <w:rFonts w:hint="eastAsia" w:asciiTheme="minorEastAsia" w:hAnsiTheme="minorEastAsia" w:eastAsiaTheme="minorEastAsia" w:cstheme="minorEastAsia"/>
          <w:sz w:val="24"/>
          <w:szCs w:val="24"/>
        </w:rPr>
        <w:t>交通银行淮南分行营业部</w:t>
      </w:r>
    </w:p>
    <w:p w14:paraId="041480B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如投标被采纳，招标人将不退还投标保证金，投标保证金转为履约保证金。履约保证金为中标价的5%，不足部分另行转帐。履约保证金必须从投标人的账户中汇出，履约保证金必须在合同签订前到达安徽新集矿山建设工程有限公司</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八公山分公司</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银行账户。如未被采纳，招标人将在开标后10个工作日内退还投标人投标保证金。</w:t>
      </w:r>
    </w:p>
    <w:p w14:paraId="2EFF67B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十二、投标截止时间：</w:t>
      </w:r>
    </w:p>
    <w:p w14:paraId="69CF277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在招标文件公布之日起，有意向投标方根据招标文件要求，定于2025年10月</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16</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日当天</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14：30</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时前，各投标单位把投标文件递交至八公山区八南路皖淮机械厂内办公楼1层开标室，逾期送达的投标文件被拒绝。2025年10月</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16</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日</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15：00</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时当众开启各方投标文件。</w:t>
      </w:r>
    </w:p>
    <w:p w14:paraId="2D2A9CE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十三、招标文件的解释：</w:t>
      </w:r>
    </w:p>
    <w:p w14:paraId="03DFD9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本文件的最终解释权为安徽新集矿山建设工程有限公司八公山分公司所有。</w:t>
      </w:r>
    </w:p>
    <w:p w14:paraId="4B9514D0">
      <w:pPr>
        <w:keepNext w:val="0"/>
        <w:keepLines w:val="0"/>
        <w:pageBreakBefore w:val="0"/>
        <w:kinsoku/>
        <w:wordWrap/>
        <w:overflowPunct/>
        <w:topLinePunct w:val="0"/>
        <w:autoSpaceDE/>
        <w:autoSpaceDN/>
        <w:bidi w:val="0"/>
        <w:adjustRightInd/>
        <w:snapToGrid/>
        <w:spacing w:line="360" w:lineRule="auto"/>
        <w:rPr>
          <w:rFonts w:hint="eastAsia" w:asciiTheme="minorHAnsi" w:hAnsiTheme="minorHAnsi" w:eastAsiaTheme="minorEastAsia" w:cstheme="minorBidi"/>
          <w:kern w:val="2"/>
          <w:sz w:val="21"/>
          <w:szCs w:val="24"/>
          <w:lang w:val="en-US" w:eastAsia="zh-CN" w:bidi="ar-SA"/>
        </w:rPr>
      </w:pPr>
    </w:p>
    <w:p w14:paraId="69AD5960">
      <w:pPr>
        <w:bidi w:val="0"/>
        <w:rPr>
          <w:rFonts w:hint="eastAsia"/>
          <w:lang w:val="en-US" w:eastAsia="zh-CN"/>
        </w:rPr>
      </w:pPr>
    </w:p>
    <w:p w14:paraId="5DAFFB71">
      <w:pPr>
        <w:bidi w:val="0"/>
        <w:rPr>
          <w:rFonts w:hint="eastAsia"/>
          <w:lang w:val="en-US" w:eastAsia="zh-CN"/>
        </w:rPr>
      </w:pPr>
    </w:p>
    <w:p w14:paraId="0814C203">
      <w:pPr>
        <w:bidi w:val="0"/>
        <w:rPr>
          <w:rFonts w:hint="eastAsia"/>
          <w:lang w:val="en-US" w:eastAsia="zh-CN"/>
        </w:rPr>
      </w:pPr>
    </w:p>
    <w:p w14:paraId="211A3597">
      <w:pPr>
        <w:bidi w:val="0"/>
        <w:rPr>
          <w:rFonts w:hint="eastAsia"/>
          <w:lang w:val="en-US" w:eastAsia="zh-CN"/>
        </w:rPr>
      </w:pPr>
    </w:p>
    <w:p w14:paraId="4324A517">
      <w:pPr>
        <w:bidi w:val="0"/>
        <w:rPr>
          <w:rFonts w:hint="eastAsia"/>
          <w:lang w:val="en-US" w:eastAsia="zh-CN"/>
        </w:rPr>
      </w:pPr>
    </w:p>
    <w:p w14:paraId="12ADFFF0">
      <w:pPr>
        <w:bidi w:val="0"/>
        <w:rPr>
          <w:rFonts w:hint="eastAsia"/>
          <w:lang w:val="en-US" w:eastAsia="zh-CN"/>
        </w:rPr>
      </w:pPr>
    </w:p>
    <w:p w14:paraId="1C44975C">
      <w:pPr>
        <w:bidi w:val="0"/>
        <w:rPr>
          <w:rFonts w:hint="eastAsia"/>
          <w:lang w:val="en-US" w:eastAsia="zh-CN"/>
        </w:rPr>
      </w:pPr>
    </w:p>
    <w:p w14:paraId="6291455E">
      <w:pPr>
        <w:bidi w:val="0"/>
        <w:rPr>
          <w:rFonts w:hint="eastAsia"/>
          <w:lang w:val="en-US" w:eastAsia="zh-CN"/>
        </w:rPr>
      </w:pPr>
    </w:p>
    <w:p w14:paraId="4C536784">
      <w:pPr>
        <w:bidi w:val="0"/>
        <w:rPr>
          <w:rFonts w:hint="eastAsia"/>
          <w:lang w:val="en-US" w:eastAsia="zh-CN"/>
        </w:rPr>
      </w:pPr>
    </w:p>
    <w:p w14:paraId="3A813675">
      <w:pPr>
        <w:bidi w:val="0"/>
        <w:rPr>
          <w:rFonts w:hint="eastAsia"/>
          <w:lang w:val="en-US" w:eastAsia="zh-CN"/>
        </w:rPr>
      </w:pPr>
    </w:p>
    <w:p w14:paraId="79D762DA">
      <w:pPr>
        <w:bidi w:val="0"/>
        <w:rPr>
          <w:rFonts w:hint="eastAsia"/>
          <w:lang w:val="en-US" w:eastAsia="zh-CN"/>
        </w:rPr>
      </w:pPr>
    </w:p>
    <w:p w14:paraId="4744AD28">
      <w:pPr>
        <w:bidi w:val="0"/>
        <w:rPr>
          <w:rFonts w:hint="eastAsia"/>
          <w:lang w:val="en-US" w:eastAsia="zh-CN"/>
        </w:rPr>
      </w:pPr>
    </w:p>
    <w:p w14:paraId="5E061D1F">
      <w:pPr>
        <w:bidi w:val="0"/>
        <w:rPr>
          <w:rFonts w:hint="eastAsia"/>
          <w:lang w:val="en-US" w:eastAsia="zh-CN"/>
        </w:rPr>
      </w:pPr>
    </w:p>
    <w:p w14:paraId="0C67C7FF">
      <w:pPr>
        <w:bidi w:val="0"/>
        <w:rPr>
          <w:rFonts w:hint="eastAsia"/>
          <w:lang w:val="en-US" w:eastAsia="zh-CN"/>
        </w:rPr>
      </w:pPr>
    </w:p>
    <w:p w14:paraId="3EC24380">
      <w:pPr>
        <w:bidi w:val="0"/>
        <w:rPr>
          <w:rFonts w:hint="eastAsia"/>
          <w:lang w:val="en-US" w:eastAsia="zh-CN"/>
        </w:rPr>
      </w:pPr>
    </w:p>
    <w:p w14:paraId="6F8F530B">
      <w:pPr>
        <w:bidi w:val="0"/>
        <w:rPr>
          <w:rFonts w:hint="eastAsia"/>
          <w:lang w:val="en-US" w:eastAsia="zh-CN"/>
        </w:rPr>
      </w:pPr>
    </w:p>
    <w:p w14:paraId="51E95DF4">
      <w:pPr>
        <w:bidi w:val="0"/>
        <w:rPr>
          <w:rFonts w:hint="eastAsia"/>
          <w:lang w:val="en-US" w:eastAsia="zh-CN"/>
        </w:rPr>
      </w:pPr>
    </w:p>
    <w:p w14:paraId="38508994">
      <w:pPr>
        <w:bidi w:val="0"/>
        <w:rPr>
          <w:rFonts w:hint="eastAsia"/>
          <w:lang w:val="en-US" w:eastAsia="zh-CN"/>
        </w:rPr>
      </w:pPr>
    </w:p>
    <w:p w14:paraId="7C86D74F">
      <w:pPr>
        <w:bidi w:val="0"/>
        <w:rPr>
          <w:rFonts w:hint="eastAsia"/>
          <w:lang w:val="en-US" w:eastAsia="zh-CN"/>
        </w:rPr>
      </w:pPr>
    </w:p>
    <w:p w14:paraId="5926354C">
      <w:pPr>
        <w:bidi w:val="0"/>
        <w:rPr>
          <w:rFonts w:hint="eastAsia"/>
          <w:lang w:val="en-US" w:eastAsia="zh-CN"/>
        </w:rPr>
      </w:pPr>
    </w:p>
    <w:p w14:paraId="2C30FE1A">
      <w:pPr>
        <w:bidi w:val="0"/>
        <w:rPr>
          <w:rFonts w:hint="eastAsia"/>
          <w:lang w:val="en-US" w:eastAsia="zh-CN"/>
        </w:rPr>
      </w:pPr>
    </w:p>
    <w:p w14:paraId="045121A7">
      <w:pPr>
        <w:bidi w:val="0"/>
        <w:rPr>
          <w:rFonts w:hint="eastAsia"/>
          <w:lang w:val="en-US" w:eastAsia="zh-CN"/>
        </w:rPr>
      </w:pPr>
    </w:p>
    <w:p w14:paraId="0650E041">
      <w:pPr>
        <w:bidi w:val="0"/>
        <w:rPr>
          <w:rFonts w:hint="eastAsia"/>
          <w:lang w:val="en-US" w:eastAsia="zh-CN"/>
        </w:rPr>
      </w:pPr>
    </w:p>
    <w:p w14:paraId="27516186">
      <w:pPr>
        <w:bidi w:val="0"/>
        <w:rPr>
          <w:rFonts w:hint="eastAsia"/>
          <w:lang w:val="en-US" w:eastAsia="zh-CN"/>
        </w:rPr>
      </w:pPr>
    </w:p>
    <w:p w14:paraId="0C429B87">
      <w:pPr>
        <w:tabs>
          <w:tab w:val="left" w:pos="4679"/>
        </w:tabs>
        <w:bidi w:val="0"/>
        <w:jc w:val="left"/>
        <w:rPr>
          <w:rFonts w:hint="eastAsia"/>
          <w:lang w:val="en-US" w:eastAsia="zh-CN"/>
        </w:rPr>
      </w:pPr>
      <w:r>
        <w:rPr>
          <w:rFonts w:hint="eastAsia"/>
          <w:lang w:val="en-US" w:eastAsia="zh-CN"/>
        </w:rPr>
        <w:tab/>
      </w:r>
    </w:p>
    <w:p w14:paraId="27FCE798">
      <w:pPr>
        <w:keepNext w:val="0"/>
        <w:keepLines w:val="0"/>
        <w:pageBreakBefore w:val="0"/>
        <w:kinsoku/>
        <w:wordWrap/>
        <w:overflowPunct/>
        <w:topLinePunct w:val="0"/>
        <w:autoSpaceDE/>
        <w:autoSpaceDN/>
        <w:bidi w:val="0"/>
        <w:adjustRightInd w:val="0"/>
        <w:snapToGrid w:val="0"/>
        <w:spacing w:line="360" w:lineRule="auto"/>
        <w:jc w:val="left"/>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附件1：</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ab/>
      </w:r>
    </w:p>
    <w:p w14:paraId="03382BEF">
      <w:pPr>
        <w:keepNext w:val="0"/>
        <w:keepLines w:val="0"/>
        <w:pageBreakBefore w:val="0"/>
        <w:kinsoku/>
        <w:wordWrap/>
        <w:overflowPunct/>
        <w:topLinePunct w:val="0"/>
        <w:autoSpaceDE/>
        <w:autoSpaceDN/>
        <w:bidi w:val="0"/>
        <w:adjustRightInd w:val="0"/>
        <w:snapToGrid w:val="0"/>
        <w:spacing w:line="360" w:lineRule="auto"/>
        <w:jc w:val="center"/>
        <w:rPr>
          <w:rFonts w:hint="eastAsia" w:asciiTheme="minorEastAsia" w:hAnsiTheme="minorEastAsia" w:eastAsiaTheme="minorEastAsia"/>
          <w:color w:val="000000" w:themeColor="text1"/>
          <w:sz w:val="36"/>
          <w:szCs w:val="36"/>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36"/>
          <w:szCs w:val="36"/>
          <w:highlight w:val="none"/>
          <w:lang w:val="en-US" w:eastAsia="zh-CN"/>
          <w14:textFill>
            <w14:solidFill>
              <w14:schemeClr w14:val="tx1"/>
            </w14:solidFill>
          </w14:textFill>
        </w:rPr>
        <w:t>投  标</w:t>
      </w:r>
      <w:r>
        <w:rPr>
          <w:rFonts w:hint="eastAsia" w:asciiTheme="minorEastAsia" w:hAnsiTheme="minorEastAsia"/>
          <w:color w:val="000000" w:themeColor="text1"/>
          <w:sz w:val="36"/>
          <w:szCs w:val="36"/>
          <w:highlight w:val="non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36"/>
          <w:szCs w:val="36"/>
          <w:highlight w:val="none"/>
          <w:lang w:val="en-US" w:eastAsia="zh-CN"/>
          <w14:textFill>
            <w14:solidFill>
              <w14:schemeClr w14:val="tx1"/>
            </w14:solidFill>
          </w14:textFill>
        </w:rPr>
        <w:t>书</w:t>
      </w:r>
    </w:p>
    <w:p w14:paraId="5B73AE07">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aps w:val="0"/>
          <w:color w:val="444444"/>
          <w:spacing w:val="0"/>
          <w:kern w:val="0"/>
          <w:sz w:val="24"/>
          <w:szCs w:val="24"/>
          <w:highlight w:val="none"/>
          <w:shd w:val="clear" w:fill="FFFFFF"/>
          <w:vertAlign w:val="baseline"/>
          <w:lang w:val="en-US" w:eastAsia="zh-CN" w:bidi="ar"/>
        </w:rPr>
        <w:t>安</w:t>
      </w:r>
      <w:r>
        <w:rPr>
          <w:rFonts w:hint="eastAsia" w:ascii="宋体" w:hAnsi="宋体" w:eastAsia="宋体" w:cs="宋体"/>
          <w:i w:val="0"/>
          <w:iCs w:val="0"/>
          <w:caps w:val="0"/>
          <w:color w:val="auto"/>
          <w:spacing w:val="0"/>
          <w:kern w:val="0"/>
          <w:sz w:val="24"/>
          <w:szCs w:val="24"/>
          <w:highlight w:val="none"/>
          <w:shd w:val="clear" w:fill="FFFFFF"/>
          <w:vertAlign w:val="baseline"/>
          <w:lang w:val="en-US" w:eastAsia="zh-CN" w:bidi="ar"/>
        </w:rPr>
        <w:t>徽新集矿山建设工程有限公司八公山分公司：</w:t>
      </w:r>
    </w:p>
    <w:p w14:paraId="08F033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360" w:lineRule="auto"/>
        <w:ind w:left="0" w:right="0" w:firstLine="480"/>
        <w:jc w:val="left"/>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aps w:val="0"/>
          <w:color w:val="auto"/>
          <w:spacing w:val="0"/>
          <w:kern w:val="0"/>
          <w:sz w:val="24"/>
          <w:szCs w:val="24"/>
          <w:shd w:val="clear" w:fill="FFFFFF"/>
          <w:vertAlign w:val="baseline"/>
          <w:lang w:val="en-US" w:eastAsia="zh-CN" w:bidi="ar"/>
        </w:rPr>
        <w:t>淮南市八公山区狮子山废弃矿山生态修复项目土方工程</w:t>
      </w:r>
      <w:r>
        <w:rPr>
          <w:rFonts w:hint="eastAsia" w:ascii="宋体" w:hAnsi="宋体" w:eastAsia="宋体" w:cs="宋体"/>
          <w:color w:val="auto"/>
          <w:sz w:val="24"/>
          <w:szCs w:val="24"/>
          <w:lang w:val="en-US" w:eastAsia="zh-CN"/>
        </w:rPr>
        <w:t>的招标文件</w:t>
      </w:r>
      <w:r>
        <w:rPr>
          <w:rFonts w:hint="eastAsia" w:ascii="宋体" w:hAnsi="宋体" w:eastAsia="宋体" w:cs="宋体"/>
          <w:color w:val="auto"/>
          <w:sz w:val="24"/>
          <w:szCs w:val="24"/>
          <w:highlight w:val="none"/>
          <w:lang w:val="en-US" w:eastAsia="zh-CN"/>
        </w:rPr>
        <w:t>，我单位经考察现场和研究上述工程招标文件后，我方投标如下：</w:t>
      </w:r>
    </w:p>
    <w:tbl>
      <w:tblPr>
        <w:tblStyle w:val="7"/>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577"/>
        <w:gridCol w:w="3036"/>
        <w:gridCol w:w="589"/>
        <w:gridCol w:w="936"/>
        <w:gridCol w:w="1084"/>
        <w:gridCol w:w="1053"/>
        <w:gridCol w:w="1217"/>
      </w:tblGrid>
      <w:tr w14:paraId="46461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054" w:type="dxa"/>
            <w:gridSpan w:val="8"/>
            <w:tcBorders>
              <w:top w:val="nil"/>
              <w:left w:val="nil"/>
              <w:bottom w:val="single" w:color="auto" w:sz="4" w:space="0"/>
              <w:right w:val="nil"/>
            </w:tcBorders>
            <w:vAlign w:val="center"/>
          </w:tcPr>
          <w:p w14:paraId="2AB146E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b/>
                <w:bCs/>
                <w:color w:val="000000"/>
                <w:sz w:val="24"/>
                <w:szCs w:val="24"/>
              </w:rPr>
              <w:t>工程量一览表</w:t>
            </w:r>
          </w:p>
        </w:tc>
      </w:tr>
      <w:tr w14:paraId="76CB9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2" w:type="dxa"/>
            <w:tcBorders>
              <w:top w:val="single" w:color="auto" w:sz="4" w:space="0"/>
            </w:tcBorders>
            <w:vAlign w:val="center"/>
          </w:tcPr>
          <w:p w14:paraId="7E93437E">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序号</w:t>
            </w:r>
          </w:p>
        </w:tc>
        <w:tc>
          <w:tcPr>
            <w:tcW w:w="577" w:type="dxa"/>
            <w:tcBorders>
              <w:top w:val="single" w:color="auto" w:sz="4" w:space="0"/>
            </w:tcBorders>
            <w:vAlign w:val="center"/>
          </w:tcPr>
          <w:p w14:paraId="3C6690B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项目名称</w:t>
            </w:r>
          </w:p>
        </w:tc>
        <w:tc>
          <w:tcPr>
            <w:tcW w:w="3036" w:type="dxa"/>
            <w:tcBorders>
              <w:top w:val="single" w:color="auto" w:sz="4" w:space="0"/>
            </w:tcBorders>
            <w:vAlign w:val="center"/>
          </w:tcPr>
          <w:p w14:paraId="0FD74063">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项目特征描述</w:t>
            </w:r>
          </w:p>
        </w:tc>
        <w:tc>
          <w:tcPr>
            <w:tcW w:w="589" w:type="dxa"/>
            <w:tcBorders>
              <w:top w:val="single" w:color="auto" w:sz="4" w:space="0"/>
            </w:tcBorders>
            <w:vAlign w:val="center"/>
          </w:tcPr>
          <w:p w14:paraId="28E7D2FA">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单位</w:t>
            </w:r>
          </w:p>
        </w:tc>
        <w:tc>
          <w:tcPr>
            <w:tcW w:w="936" w:type="dxa"/>
            <w:tcBorders>
              <w:top w:val="single" w:color="auto" w:sz="4" w:space="0"/>
            </w:tcBorders>
            <w:vAlign w:val="center"/>
          </w:tcPr>
          <w:p w14:paraId="6AABE9F9">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计划用量</w:t>
            </w:r>
          </w:p>
        </w:tc>
        <w:tc>
          <w:tcPr>
            <w:tcW w:w="1084" w:type="dxa"/>
            <w:tcBorders>
              <w:top w:val="single" w:color="auto" w:sz="4" w:space="0"/>
            </w:tcBorders>
            <w:vAlign w:val="center"/>
          </w:tcPr>
          <w:p w14:paraId="5004989F">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单价（元）</w:t>
            </w:r>
          </w:p>
        </w:tc>
        <w:tc>
          <w:tcPr>
            <w:tcW w:w="1053" w:type="dxa"/>
            <w:tcBorders>
              <w:top w:val="single" w:color="auto" w:sz="4" w:space="0"/>
            </w:tcBorders>
            <w:vAlign w:val="center"/>
          </w:tcPr>
          <w:p w14:paraId="0703EEC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总价（元）</w:t>
            </w:r>
          </w:p>
        </w:tc>
        <w:tc>
          <w:tcPr>
            <w:tcW w:w="1217" w:type="dxa"/>
            <w:tcBorders>
              <w:top w:val="single" w:color="auto" w:sz="4" w:space="0"/>
            </w:tcBorders>
            <w:vAlign w:val="center"/>
          </w:tcPr>
          <w:p w14:paraId="767982C9">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要求</w:t>
            </w:r>
          </w:p>
        </w:tc>
      </w:tr>
      <w:tr w14:paraId="5A1E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14:paraId="17686EAF">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577" w:type="dxa"/>
            <w:vAlign w:val="center"/>
          </w:tcPr>
          <w:p w14:paraId="3640057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回填土</w:t>
            </w:r>
          </w:p>
        </w:tc>
        <w:tc>
          <w:tcPr>
            <w:tcW w:w="3036" w:type="dxa"/>
            <w:vAlign w:val="center"/>
          </w:tcPr>
          <w:p w14:paraId="285460D1">
            <w:pPr>
              <w:keepNext w:val="0"/>
              <w:keepLines w:val="0"/>
              <w:pageBreakBefore w:val="0"/>
              <w:widowControl/>
              <w:numPr>
                <w:ilvl w:val="0"/>
                <w:numId w:val="0"/>
              </w:numPr>
              <w:suppressLineNumbers w:val="0"/>
              <w:kinsoku/>
              <w:wordWrap/>
              <w:overflowPunct/>
              <w:topLinePunct w:val="0"/>
              <w:autoSpaceDE/>
              <w:autoSpaceDN/>
              <w:bidi w:val="0"/>
              <w:spacing w:line="360" w:lineRule="auto"/>
              <w:ind w:left="0" w:leftChars="0" w:firstLine="0" w:firstLineChars="0"/>
              <w:jc w:val="left"/>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一</w:t>
            </w:r>
            <w:r>
              <w:rPr>
                <w:rFonts w:hint="eastAsia" w:ascii="宋体" w:hAnsi="宋体" w:eastAsia="宋体" w:cs="宋体"/>
                <w:color w:val="auto"/>
                <w:sz w:val="24"/>
                <w:szCs w:val="24"/>
                <w:lang w:val="en-US" w:eastAsia="zh-CN"/>
              </w:rPr>
              <w:t>类种植土（</w:t>
            </w:r>
            <w:r>
              <w:rPr>
                <w:rFonts w:hint="eastAsia" w:ascii="宋体" w:hAnsi="宋体" w:eastAsia="宋体" w:cs="宋体"/>
                <w:i w:val="0"/>
                <w:iCs w:val="0"/>
                <w:caps w:val="0"/>
                <w:color w:val="auto"/>
                <w:spacing w:val="0"/>
                <w:sz w:val="24"/>
                <w:szCs w:val="24"/>
                <w:shd w:val="clear" w:fill="FFFFFF"/>
              </w:rPr>
              <w:t>土方回填、运输、修坡、道路通行、排水、包工期、包质量、包安全、包文明施工（裸露土方覆盖）、并由投标方自供设备（如现场车辆冲洗设备等）的形式承包施工</w:t>
            </w:r>
            <w:r>
              <w:rPr>
                <w:rFonts w:hint="eastAsia" w:ascii="宋体" w:hAnsi="宋体" w:eastAsia="宋体" w:cs="宋体"/>
                <w:i w:val="0"/>
                <w:iCs w:val="0"/>
                <w:caps w:val="0"/>
                <w:color w:val="auto"/>
                <w:spacing w:val="0"/>
                <w:sz w:val="24"/>
                <w:szCs w:val="24"/>
                <w:shd w:val="clear" w:fill="FFFFFF"/>
                <w:lang w:eastAsia="zh-CN"/>
              </w:rPr>
              <w:t>）</w:t>
            </w:r>
          </w:p>
        </w:tc>
        <w:tc>
          <w:tcPr>
            <w:tcW w:w="589" w:type="dxa"/>
            <w:vAlign w:val="center"/>
          </w:tcPr>
          <w:p w14:paraId="33EABC0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m³</w:t>
            </w:r>
          </w:p>
        </w:tc>
        <w:tc>
          <w:tcPr>
            <w:tcW w:w="936" w:type="dxa"/>
            <w:vAlign w:val="center"/>
          </w:tcPr>
          <w:p w14:paraId="75D94A40">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102164</w:t>
            </w:r>
          </w:p>
        </w:tc>
        <w:tc>
          <w:tcPr>
            <w:tcW w:w="1084" w:type="dxa"/>
            <w:vAlign w:val="center"/>
          </w:tcPr>
          <w:p w14:paraId="039A9FFD">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4"/>
                <w:szCs w:val="24"/>
                <w:vertAlign w:val="baseline"/>
                <w:lang w:val="en-US" w:eastAsia="zh-CN"/>
              </w:rPr>
            </w:pPr>
          </w:p>
        </w:tc>
        <w:tc>
          <w:tcPr>
            <w:tcW w:w="1053" w:type="dxa"/>
            <w:vAlign w:val="center"/>
          </w:tcPr>
          <w:p w14:paraId="23EE1593">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4"/>
                <w:szCs w:val="24"/>
                <w:vertAlign w:val="baseline"/>
                <w:lang w:val="en-US" w:eastAsia="zh-CN"/>
              </w:rPr>
            </w:pPr>
          </w:p>
        </w:tc>
        <w:tc>
          <w:tcPr>
            <w:tcW w:w="1217" w:type="dxa"/>
            <w:vAlign w:val="center"/>
          </w:tcPr>
          <w:p w14:paraId="765CD7E6">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4"/>
                <w:szCs w:val="24"/>
                <w:vertAlign w:val="baseline"/>
                <w:lang w:val="en-US" w:eastAsia="zh-CN"/>
              </w:rPr>
            </w:pPr>
          </w:p>
        </w:tc>
      </w:tr>
      <w:tr w14:paraId="54EC8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562" w:type="dxa"/>
            <w:vAlign w:val="center"/>
          </w:tcPr>
          <w:p w14:paraId="52BD49EB">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577" w:type="dxa"/>
            <w:vAlign w:val="center"/>
          </w:tcPr>
          <w:p w14:paraId="3B0D9E37">
            <w:pPr>
              <w:keepNext w:val="0"/>
              <w:keepLines w:val="0"/>
              <w:pageBreakBefore w:val="0"/>
              <w:widowControl/>
              <w:suppressLineNumbers w:val="0"/>
              <w:kinsoku/>
              <w:wordWrap/>
              <w:overflowPunct/>
              <w:topLinePunct w:val="0"/>
              <w:autoSpaceDE/>
              <w:autoSpaceDN/>
              <w:bidi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回填覆土</w:t>
            </w:r>
          </w:p>
          <w:p w14:paraId="2C1C6047">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6" w:type="dxa"/>
            <w:vAlign w:val="center"/>
          </w:tcPr>
          <w:p w14:paraId="783DFBEC">
            <w:pPr>
              <w:keepNext w:val="0"/>
              <w:keepLines w:val="0"/>
              <w:pageBreakBefore w:val="0"/>
              <w:widowControl/>
              <w:suppressLineNumbers w:val="0"/>
              <w:kinsoku/>
              <w:wordWrap/>
              <w:overflowPunct/>
              <w:topLinePunct w:val="0"/>
              <w:autoSpaceDE/>
              <w:autoSpaceDN/>
              <w:bidi w:val="0"/>
              <w:spacing w:line="360" w:lineRule="auto"/>
              <w:jc w:val="left"/>
              <w:rPr>
                <w:rFonts w:hint="eastAsia" w:ascii="宋体" w:hAnsi="宋体" w:eastAsia="宋体" w:cs="宋体"/>
                <w:sz w:val="24"/>
                <w:szCs w:val="24"/>
                <w:lang w:val="en-US"/>
              </w:rPr>
            </w:pPr>
            <w:r>
              <w:rPr>
                <w:rFonts w:hint="eastAsia" w:ascii="宋体" w:hAnsi="宋体" w:eastAsia="宋体" w:cs="宋体"/>
                <w:sz w:val="24"/>
                <w:szCs w:val="24"/>
                <w:lang w:val="en-US" w:eastAsia="zh-CN"/>
              </w:rPr>
              <w:t>回填高度:600mm,符合</w:t>
            </w:r>
            <w:r>
              <w:rPr>
                <w:rFonts w:hint="eastAsia" w:ascii="宋体" w:hAnsi="宋体" w:eastAsia="宋体" w:cs="宋体"/>
                <w:color w:val="000000"/>
                <w:kern w:val="0"/>
                <w:sz w:val="24"/>
                <w:szCs w:val="24"/>
                <w:lang w:val="en-US" w:eastAsia="zh-CN" w:bidi="ar"/>
              </w:rPr>
              <w:t>石质山地造林技术规程》(DB34/T1695-2012）技术要求</w:t>
            </w:r>
          </w:p>
          <w:p w14:paraId="519A6ED1">
            <w:pPr>
              <w:keepNext w:val="0"/>
              <w:keepLines w:val="0"/>
              <w:pageBreakBefore w:val="0"/>
              <w:widowControl/>
              <w:numPr>
                <w:ilvl w:val="0"/>
                <w:numId w:val="0"/>
              </w:numPr>
              <w:suppressLineNumbers w:val="0"/>
              <w:kinsoku/>
              <w:wordWrap/>
              <w:overflowPunct/>
              <w:topLinePunct w:val="0"/>
              <w:autoSpaceDE/>
              <w:autoSpaceDN/>
              <w:bidi w:val="0"/>
              <w:spacing w:line="360" w:lineRule="auto"/>
              <w:ind w:left="0" w:leftChars="0" w:firstLine="0" w:firstLineChars="0"/>
              <w:jc w:val="left"/>
              <w:textAlignment w:val="center"/>
              <w:rPr>
                <w:rFonts w:hint="eastAsia" w:ascii="宋体" w:hAnsi="宋体" w:eastAsia="宋体" w:cs="宋体"/>
                <w:sz w:val="24"/>
                <w:szCs w:val="24"/>
                <w:lang w:val="en-US" w:eastAsia="zh-CN"/>
              </w:rPr>
            </w:pPr>
          </w:p>
        </w:tc>
        <w:tc>
          <w:tcPr>
            <w:tcW w:w="589" w:type="dxa"/>
            <w:shd w:val="clear" w:color="auto" w:fill="auto"/>
            <w:vAlign w:val="center"/>
          </w:tcPr>
          <w:p w14:paraId="568B7164">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kern w:val="2"/>
                <w:sz w:val="24"/>
                <w:szCs w:val="24"/>
                <w:vertAlign w:val="baseline"/>
                <w:lang w:val="en-US" w:eastAsia="zh-CN" w:bidi="ar-SA"/>
              </w:rPr>
            </w:pPr>
            <w:r>
              <w:rPr>
                <w:rFonts w:hint="eastAsia" w:ascii="宋体" w:hAnsi="宋体" w:eastAsia="宋体" w:cs="宋体"/>
                <w:i w:val="0"/>
                <w:iCs w:val="0"/>
                <w:color w:val="000000"/>
                <w:kern w:val="0"/>
                <w:sz w:val="24"/>
                <w:szCs w:val="24"/>
                <w:u w:val="none"/>
                <w:lang w:val="en-US" w:eastAsia="zh-CN" w:bidi="ar"/>
              </w:rPr>
              <w:t>m³</w:t>
            </w:r>
          </w:p>
        </w:tc>
        <w:tc>
          <w:tcPr>
            <w:tcW w:w="936" w:type="dxa"/>
            <w:vAlign w:val="center"/>
          </w:tcPr>
          <w:p w14:paraId="4C8FAD4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102164</w:t>
            </w:r>
          </w:p>
        </w:tc>
        <w:tc>
          <w:tcPr>
            <w:tcW w:w="1084" w:type="dxa"/>
            <w:vAlign w:val="center"/>
          </w:tcPr>
          <w:p w14:paraId="24AFCC5E">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4"/>
                <w:szCs w:val="24"/>
                <w:vertAlign w:val="baseline"/>
                <w:lang w:val="en-US" w:eastAsia="zh-CN"/>
              </w:rPr>
            </w:pPr>
          </w:p>
        </w:tc>
        <w:tc>
          <w:tcPr>
            <w:tcW w:w="1053" w:type="dxa"/>
            <w:vAlign w:val="center"/>
          </w:tcPr>
          <w:p w14:paraId="3BC0F888">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4"/>
                <w:szCs w:val="24"/>
                <w:vertAlign w:val="baseline"/>
                <w:lang w:val="en-US" w:eastAsia="zh-CN"/>
              </w:rPr>
            </w:pPr>
          </w:p>
        </w:tc>
        <w:tc>
          <w:tcPr>
            <w:tcW w:w="1217" w:type="dxa"/>
            <w:vAlign w:val="center"/>
          </w:tcPr>
          <w:p w14:paraId="51F65D38">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4"/>
                <w:szCs w:val="24"/>
                <w:vertAlign w:val="baseline"/>
                <w:lang w:val="en-US" w:eastAsia="zh-CN"/>
              </w:rPr>
            </w:pPr>
          </w:p>
        </w:tc>
      </w:tr>
      <w:tr w14:paraId="47CCF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562" w:type="dxa"/>
            <w:shd w:val="clear" w:color="auto" w:fill="auto"/>
            <w:vAlign w:val="center"/>
          </w:tcPr>
          <w:p w14:paraId="4B0521B2">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3</w:t>
            </w:r>
          </w:p>
        </w:tc>
        <w:tc>
          <w:tcPr>
            <w:tcW w:w="577" w:type="dxa"/>
            <w:shd w:val="clear" w:color="auto" w:fill="auto"/>
            <w:vAlign w:val="center"/>
          </w:tcPr>
          <w:p w14:paraId="7ED21196">
            <w:pPr>
              <w:keepNext w:val="0"/>
              <w:keepLines w:val="0"/>
              <w:pageBreakBefore w:val="0"/>
              <w:widowControl/>
              <w:suppressLineNumbers w:val="0"/>
              <w:kinsoku/>
              <w:wordWrap/>
              <w:overflowPunct/>
              <w:topLinePunct w:val="0"/>
              <w:autoSpaceDE/>
              <w:autoSpaceDN/>
              <w:bidi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场地平整</w:t>
            </w:r>
          </w:p>
          <w:p w14:paraId="1DD6E53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3036" w:type="dxa"/>
            <w:shd w:val="clear" w:color="auto" w:fill="auto"/>
            <w:vAlign w:val="center"/>
          </w:tcPr>
          <w:p w14:paraId="4DA3A937">
            <w:pPr>
              <w:keepNext w:val="0"/>
              <w:keepLines w:val="0"/>
              <w:pageBreakBefore w:val="0"/>
              <w:widowControl/>
              <w:numPr>
                <w:ilvl w:val="0"/>
                <w:numId w:val="0"/>
              </w:numPr>
              <w:suppressLineNumbers w:val="0"/>
              <w:kinsoku/>
              <w:wordWrap/>
              <w:overflowPunct/>
              <w:topLinePunct w:val="0"/>
              <w:autoSpaceDE/>
              <w:autoSpaceDN/>
              <w:bidi w:val="0"/>
              <w:spacing w:line="360" w:lineRule="auto"/>
              <w:ind w:left="0" w:leftChars="0" w:firstLine="0" w:firstLineChars="0"/>
              <w:jc w:val="left"/>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cstheme="minorEastAsia"/>
                <w:sz w:val="24"/>
                <w:szCs w:val="24"/>
                <w:lang w:val="en-US" w:eastAsia="zh-CN"/>
              </w:rPr>
              <w:t>达到要求的标高</w:t>
            </w:r>
          </w:p>
        </w:tc>
        <w:tc>
          <w:tcPr>
            <w:tcW w:w="589" w:type="dxa"/>
            <w:shd w:val="clear" w:color="auto" w:fill="auto"/>
            <w:vAlign w:val="center"/>
          </w:tcPr>
          <w:p w14:paraId="3CBE19F9">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c>
          <w:tcPr>
            <w:tcW w:w="936" w:type="dxa"/>
            <w:shd w:val="clear" w:color="auto" w:fill="auto"/>
            <w:vAlign w:val="center"/>
          </w:tcPr>
          <w:p w14:paraId="040689B3">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102164</w:t>
            </w:r>
          </w:p>
        </w:tc>
        <w:tc>
          <w:tcPr>
            <w:tcW w:w="1084" w:type="dxa"/>
            <w:shd w:val="clear" w:color="auto" w:fill="auto"/>
            <w:vAlign w:val="center"/>
          </w:tcPr>
          <w:p w14:paraId="16E3990F">
            <w:pPr>
              <w:keepNext w:val="0"/>
              <w:keepLines w:val="0"/>
              <w:pageBreakBefore w:val="0"/>
              <w:kinsoku/>
              <w:wordWrap/>
              <w:overflowPunct/>
              <w:topLinePunct w:val="0"/>
              <w:autoSpaceDE/>
              <w:autoSpaceDN/>
              <w:bidi w:val="0"/>
              <w:spacing w:line="360" w:lineRule="auto"/>
              <w:jc w:val="center"/>
              <w:rPr>
                <w:rFonts w:hint="eastAsia" w:asciiTheme="minorEastAsia" w:hAnsiTheme="minorEastAsia" w:eastAsiaTheme="minorEastAsia" w:cstheme="minorEastAsia"/>
                <w:w w:val="90"/>
                <w:kern w:val="2"/>
                <w:sz w:val="24"/>
                <w:szCs w:val="24"/>
                <w:vertAlign w:val="baseline"/>
                <w:lang w:val="en-US" w:eastAsia="zh-CN" w:bidi="ar-SA"/>
              </w:rPr>
            </w:pPr>
          </w:p>
        </w:tc>
        <w:tc>
          <w:tcPr>
            <w:tcW w:w="1053" w:type="dxa"/>
            <w:shd w:val="clear" w:color="auto" w:fill="auto"/>
            <w:vAlign w:val="center"/>
          </w:tcPr>
          <w:p w14:paraId="6FE78129">
            <w:pPr>
              <w:keepNext w:val="0"/>
              <w:keepLines w:val="0"/>
              <w:pageBreakBefore w:val="0"/>
              <w:kinsoku/>
              <w:wordWrap/>
              <w:overflowPunct/>
              <w:topLinePunct w:val="0"/>
              <w:autoSpaceDE/>
              <w:autoSpaceDN/>
              <w:bidi w:val="0"/>
              <w:spacing w:line="360" w:lineRule="auto"/>
              <w:jc w:val="center"/>
              <w:rPr>
                <w:rFonts w:hint="eastAsia" w:asciiTheme="minorEastAsia" w:hAnsiTheme="minorEastAsia" w:eastAsiaTheme="minorEastAsia" w:cstheme="minorEastAsia"/>
                <w:w w:val="90"/>
                <w:kern w:val="2"/>
                <w:sz w:val="24"/>
                <w:szCs w:val="24"/>
                <w:vertAlign w:val="baseline"/>
                <w:lang w:val="en-US" w:eastAsia="zh-CN" w:bidi="ar-SA"/>
              </w:rPr>
            </w:pPr>
          </w:p>
        </w:tc>
        <w:tc>
          <w:tcPr>
            <w:tcW w:w="1217" w:type="dxa"/>
            <w:shd w:val="clear" w:color="auto" w:fill="auto"/>
            <w:vAlign w:val="center"/>
          </w:tcPr>
          <w:p w14:paraId="2B525631">
            <w:pPr>
              <w:keepNext w:val="0"/>
              <w:keepLines w:val="0"/>
              <w:pageBreakBefore w:val="0"/>
              <w:kinsoku/>
              <w:wordWrap/>
              <w:overflowPunct/>
              <w:topLinePunct w:val="0"/>
              <w:autoSpaceDE/>
              <w:autoSpaceDN/>
              <w:bidi w:val="0"/>
              <w:spacing w:line="360" w:lineRule="auto"/>
              <w:jc w:val="center"/>
              <w:rPr>
                <w:rFonts w:hint="eastAsia" w:asciiTheme="minorEastAsia" w:hAnsiTheme="minorEastAsia" w:eastAsiaTheme="minorEastAsia" w:cstheme="minorEastAsia"/>
                <w:w w:val="90"/>
                <w:kern w:val="2"/>
                <w:sz w:val="24"/>
                <w:szCs w:val="24"/>
                <w:vertAlign w:val="baseline"/>
                <w:lang w:val="en-US" w:eastAsia="zh-CN" w:bidi="ar-SA"/>
              </w:rPr>
            </w:pPr>
          </w:p>
        </w:tc>
      </w:tr>
    </w:tbl>
    <w:p w14:paraId="0A809DE6">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6535E69">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以上总价内包括</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土方回填、运输、修坡、道路通行、排水、包工期、包质量、包安全、包文明施工（裸露土方覆盖）、</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包验收，</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并由投标方自供设备（如现场车辆冲洗设备等）的形式承包施工</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43745062">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2、本投标已包括完成施工所需的全部费用，投标为综合单价。</w:t>
      </w:r>
    </w:p>
    <w:p w14:paraId="75A54F2D">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3、按招标文件要求承包上述工程的施工、竣工。</w:t>
      </w:r>
    </w:p>
    <w:p w14:paraId="7AAC576C">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4、工期及质量承诺：一旦我方达成协议，我方保证按照招标方工期要求完工，并确保工程质量符合设计图纸及规范要求。推迟工期3天以内，500元/天进行罚款，推迟超过3天，按1000元/天进行处罚。</w:t>
      </w:r>
    </w:p>
    <w:p w14:paraId="3121AFE7">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5、我司承诺：按照招标人最新的施工组织设计安排生产力。</w:t>
      </w:r>
    </w:p>
    <w:p w14:paraId="579B0F63">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除非另外达成协议并生效，否则你方的招标文件、通知书和本投标文件将构成约束我们双方的合同。</w:t>
      </w:r>
    </w:p>
    <w:p w14:paraId="7D8CC96F">
      <w:pPr>
        <w:adjustRightInd w:val="0"/>
        <w:snapToGrid w:val="0"/>
        <w:spacing w:after="100" w:afterAutospacing="1" w:line="360" w:lineRule="auto"/>
        <w:jc w:val="left"/>
        <w:rPr>
          <w:rFonts w:hint="eastAsia" w:ascii="宋体" w:hAnsi="宋体" w:eastAsia="宋体" w:cs="宋体"/>
          <w:sz w:val="24"/>
          <w:szCs w:val="24"/>
          <w:highlight w:val="none"/>
        </w:rPr>
      </w:pPr>
    </w:p>
    <w:p w14:paraId="475033F8">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5296C521">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5E6679A1">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29BE8FE8">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2251B683">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6054851B">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443EC52D">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5D70BE4C">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4790ABA5">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1E650AD0">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158E2C02">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47AFDDF3">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4B1074F9">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270959EB">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6FA91DDC">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75C2FA35">
      <w:pPr>
        <w:pStyle w:val="2"/>
        <w:rPr>
          <w:rFonts w:hint="eastAsia" w:ascii="宋体" w:hAnsi="宋体" w:eastAsia="宋体" w:cs="宋体"/>
          <w:sz w:val="16"/>
          <w:szCs w:val="16"/>
          <w:highlight w:val="none"/>
          <w:lang w:val="en-US" w:eastAsia="zh-CN"/>
        </w:rPr>
      </w:pPr>
    </w:p>
    <w:p w14:paraId="67A2DA9F">
      <w:pPr>
        <w:pStyle w:val="2"/>
        <w:rPr>
          <w:rFonts w:hint="eastAsia" w:ascii="宋体" w:hAnsi="宋体" w:eastAsia="宋体" w:cs="宋体"/>
          <w:sz w:val="16"/>
          <w:szCs w:val="16"/>
          <w:highlight w:val="none"/>
          <w:lang w:val="en-US" w:eastAsia="zh-CN"/>
        </w:rPr>
      </w:pPr>
    </w:p>
    <w:p w14:paraId="4FCDD934">
      <w:pPr>
        <w:pStyle w:val="2"/>
        <w:rPr>
          <w:rFonts w:hint="eastAsia" w:ascii="宋体" w:hAnsi="宋体" w:eastAsia="宋体" w:cs="宋体"/>
          <w:sz w:val="16"/>
          <w:szCs w:val="16"/>
          <w:highlight w:val="none"/>
          <w:lang w:val="en-US" w:eastAsia="zh-CN"/>
        </w:rPr>
      </w:pPr>
    </w:p>
    <w:p w14:paraId="0F474438">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附件2： 《土方工程分包合同》</w:t>
      </w:r>
    </w:p>
    <w:p w14:paraId="34DECF5D">
      <w:pPr>
        <w:pStyle w:val="2"/>
        <w:rPr>
          <w:rFonts w:hint="eastAsia"/>
          <w:lang w:val="en-US" w:eastAsia="zh-CN"/>
        </w:rPr>
      </w:pPr>
    </w:p>
    <w:p w14:paraId="143ACE74">
      <w:pPr>
        <w:jc w:val="center"/>
        <w:rPr>
          <w:rFonts w:hint="eastAsia" w:ascii="宋体" w:hAnsi="宋体" w:eastAsia="宋体" w:cs="宋体"/>
          <w:b/>
          <w:color w:val="auto"/>
          <w:sz w:val="44"/>
          <w:szCs w:val="44"/>
          <w:highlight w:val="none"/>
        </w:rPr>
      </w:pPr>
      <w:r>
        <w:rPr>
          <w:rFonts w:hint="eastAsia" w:ascii="宋体" w:hAnsi="宋体" w:eastAsia="宋体" w:cs="宋体"/>
          <w:i w:val="0"/>
          <w:iCs w:val="0"/>
          <w:caps w:val="0"/>
          <w:color w:val="auto"/>
          <w:spacing w:val="0"/>
          <w:kern w:val="0"/>
          <w:sz w:val="44"/>
          <w:szCs w:val="44"/>
          <w:shd w:val="clear" w:fill="FFFFFF"/>
          <w:vertAlign w:val="baseline"/>
          <w:lang w:val="en-US" w:eastAsia="zh-CN" w:bidi="ar"/>
        </w:rPr>
        <w:t>淮南市八公山区狮子山废弃矿山生态修复项目土方工程</w:t>
      </w:r>
    </w:p>
    <w:p w14:paraId="3FB20BB6">
      <w:pPr>
        <w:rPr>
          <w:rFonts w:hint="eastAsia" w:ascii="宋体" w:hAnsi="宋体" w:eastAsia="宋体" w:cs="宋体"/>
          <w:b/>
          <w:color w:val="auto"/>
          <w:sz w:val="32"/>
          <w:szCs w:val="32"/>
          <w:highlight w:val="none"/>
        </w:rPr>
      </w:pPr>
    </w:p>
    <w:p w14:paraId="5B6ADE02">
      <w:pPr>
        <w:rPr>
          <w:rFonts w:hint="eastAsia" w:ascii="宋体" w:hAnsi="宋体" w:eastAsia="宋体" w:cs="宋体"/>
          <w:b/>
          <w:sz w:val="32"/>
          <w:szCs w:val="32"/>
          <w:highlight w:val="none"/>
        </w:rPr>
      </w:pPr>
    </w:p>
    <w:p w14:paraId="40758369">
      <w:pPr>
        <w:rPr>
          <w:rFonts w:hint="eastAsia" w:ascii="宋体" w:hAnsi="宋体" w:eastAsia="宋体" w:cs="宋体"/>
          <w:b/>
          <w:sz w:val="32"/>
          <w:szCs w:val="32"/>
          <w:highlight w:val="none"/>
        </w:rPr>
      </w:pPr>
    </w:p>
    <w:p w14:paraId="57CF2619">
      <w:pPr>
        <w:jc w:val="center"/>
        <w:rPr>
          <w:rFonts w:hint="eastAsia" w:ascii="宋体" w:hAnsi="宋体" w:eastAsia="宋体" w:cs="宋体"/>
          <w:b/>
          <w:sz w:val="32"/>
          <w:szCs w:val="32"/>
          <w:highlight w:val="none"/>
          <w:u w:val="double"/>
        </w:rPr>
      </w:pPr>
    </w:p>
    <w:p w14:paraId="6F12BDC3">
      <w:pPr>
        <w:jc w:val="both"/>
        <w:rPr>
          <w:rFonts w:hint="eastAsia" w:ascii="宋体" w:hAnsi="宋体" w:eastAsia="宋体" w:cs="宋体"/>
          <w:b/>
          <w:sz w:val="32"/>
          <w:szCs w:val="32"/>
          <w:highlight w:val="none"/>
          <w:u w:val="double"/>
        </w:rPr>
      </w:pPr>
    </w:p>
    <w:p w14:paraId="2289EEE1">
      <w:pPr>
        <w:jc w:val="center"/>
        <w:rPr>
          <w:rFonts w:hint="eastAsia" w:ascii="宋体" w:hAnsi="宋体" w:eastAsia="宋体" w:cs="宋体"/>
          <w:b/>
          <w:sz w:val="44"/>
          <w:szCs w:val="44"/>
          <w:highlight w:val="none"/>
          <w:u w:val="none"/>
        </w:rPr>
      </w:pPr>
      <w:r>
        <w:rPr>
          <w:rFonts w:hint="eastAsia" w:ascii="宋体" w:hAnsi="宋体" w:eastAsia="宋体" w:cs="宋体"/>
          <w:b/>
          <w:sz w:val="44"/>
          <w:szCs w:val="44"/>
          <w:highlight w:val="none"/>
          <w:u w:val="none"/>
          <w:lang w:val="en-US" w:eastAsia="zh-CN"/>
        </w:rPr>
        <w:t xml:space="preserve"> </w:t>
      </w:r>
      <w:r>
        <w:rPr>
          <w:rFonts w:hint="eastAsia" w:ascii="宋体" w:hAnsi="宋体" w:eastAsia="宋体" w:cs="宋体"/>
          <w:b/>
          <w:bCs/>
          <w:sz w:val="44"/>
          <w:szCs w:val="44"/>
          <w:highlight w:val="none"/>
          <w:u w:val="none"/>
          <w:lang w:val="en-US" w:eastAsia="zh-CN"/>
        </w:rPr>
        <w:t>土方工程分包</w:t>
      </w:r>
      <w:r>
        <w:rPr>
          <w:rFonts w:hint="eastAsia" w:ascii="宋体" w:hAnsi="宋体" w:eastAsia="宋体" w:cs="宋体"/>
          <w:b/>
          <w:bCs/>
          <w:sz w:val="44"/>
          <w:szCs w:val="44"/>
          <w:highlight w:val="none"/>
          <w:u w:val="none"/>
        </w:rPr>
        <w:t>合同</w:t>
      </w:r>
      <w:r>
        <w:rPr>
          <w:rFonts w:hint="eastAsia" w:ascii="宋体" w:hAnsi="宋体" w:eastAsia="宋体" w:cs="宋体"/>
          <w:b/>
          <w:sz w:val="44"/>
          <w:szCs w:val="44"/>
          <w:highlight w:val="none"/>
          <w:u w:val="none"/>
          <w:lang w:val="en-US" w:eastAsia="zh-CN"/>
        </w:rPr>
        <w:t xml:space="preserve"> </w:t>
      </w:r>
    </w:p>
    <w:p w14:paraId="7CBA1499">
      <w:pPr>
        <w:jc w:val="center"/>
        <w:rPr>
          <w:rFonts w:hint="eastAsia" w:ascii="宋体" w:hAnsi="宋体" w:eastAsia="宋体" w:cs="宋体"/>
          <w:b/>
          <w:sz w:val="44"/>
          <w:szCs w:val="44"/>
          <w:highlight w:val="none"/>
        </w:rPr>
      </w:pPr>
    </w:p>
    <w:p w14:paraId="58A4577D">
      <w:pPr>
        <w:jc w:val="center"/>
        <w:rPr>
          <w:rFonts w:hint="eastAsia" w:ascii="宋体" w:hAnsi="宋体" w:eastAsia="宋体" w:cs="宋体"/>
          <w:b/>
          <w:sz w:val="32"/>
          <w:szCs w:val="32"/>
          <w:highlight w:val="none"/>
        </w:rPr>
      </w:pPr>
    </w:p>
    <w:p w14:paraId="419B74F6">
      <w:pPr>
        <w:rPr>
          <w:rFonts w:hint="eastAsia" w:ascii="宋体" w:hAnsi="宋体" w:eastAsia="宋体" w:cs="宋体"/>
          <w:b/>
          <w:sz w:val="32"/>
          <w:szCs w:val="32"/>
          <w:highlight w:val="none"/>
        </w:rPr>
      </w:pPr>
    </w:p>
    <w:p w14:paraId="6518CE2D">
      <w:pPr>
        <w:jc w:val="center"/>
        <w:rPr>
          <w:rFonts w:hint="eastAsia" w:ascii="宋体" w:hAnsi="宋体" w:eastAsia="宋体" w:cs="宋体"/>
          <w:b/>
          <w:sz w:val="32"/>
          <w:szCs w:val="32"/>
          <w:highlight w:val="none"/>
        </w:rPr>
      </w:pPr>
    </w:p>
    <w:p w14:paraId="7DA57E0C">
      <w:pPr>
        <w:jc w:val="center"/>
        <w:rPr>
          <w:rFonts w:hint="eastAsia" w:ascii="宋体" w:hAnsi="宋体" w:eastAsia="宋体" w:cs="宋体"/>
          <w:b/>
          <w:sz w:val="32"/>
          <w:szCs w:val="32"/>
          <w:highlight w:val="none"/>
        </w:rPr>
      </w:pPr>
    </w:p>
    <w:p w14:paraId="33C4B51E">
      <w:pPr>
        <w:spacing w:line="520" w:lineRule="exact"/>
        <w:rPr>
          <w:rFonts w:hint="eastAsia" w:ascii="宋体" w:hAnsi="宋体" w:eastAsia="宋体" w:cs="宋体"/>
          <w:b w:val="0"/>
          <w:bCs/>
          <w:sz w:val="32"/>
          <w:szCs w:val="32"/>
          <w:highlight w:val="none"/>
        </w:rPr>
      </w:pPr>
    </w:p>
    <w:p w14:paraId="53376CD8">
      <w:pPr>
        <w:spacing w:line="600" w:lineRule="auto"/>
        <w:ind w:left="1600" w:hanging="1600" w:hangingChars="500"/>
        <w:rPr>
          <w:rFonts w:hint="eastAsia" w:ascii="宋体" w:hAnsi="宋体" w:eastAsia="宋体" w:cs="宋体"/>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宋体" w:hAnsi="宋体" w:eastAsia="宋体" w:cs="宋体"/>
          <w:b w:val="0"/>
          <w:bCs/>
          <w:sz w:val="32"/>
          <w:szCs w:val="32"/>
          <w:highlight w:val="none"/>
          <w:u w:val="none"/>
          <w:lang w:val="en-US" w:eastAsia="zh-CN"/>
        </w:rPr>
        <w:t>项目</w:t>
      </w:r>
      <w:r>
        <w:rPr>
          <w:rFonts w:hint="eastAsia" w:ascii="宋体" w:hAnsi="宋体" w:eastAsia="宋体" w:cs="宋体"/>
          <w:b w:val="0"/>
          <w:bCs/>
          <w:sz w:val="32"/>
          <w:szCs w:val="32"/>
          <w:highlight w:val="none"/>
          <w:u w:val="none"/>
        </w:rPr>
        <w:t>名称：</w:t>
      </w:r>
      <w:r>
        <w:rPr>
          <w:rFonts w:hint="eastAsia" w:ascii="宋体" w:hAnsi="宋体" w:eastAsia="宋体" w:cs="宋体"/>
          <w:b w:val="0"/>
          <w:bCs/>
          <w:color w:val="000000" w:themeColor="text1"/>
          <w:sz w:val="32"/>
          <w:szCs w:val="32"/>
          <w:highlight w:val="none"/>
          <w:u w:val="single"/>
          <w:lang w:val="en-US" w:eastAsia="zh-CN"/>
          <w14:textFill>
            <w14:solidFill>
              <w14:schemeClr w14:val="tx1"/>
            </w14:solidFill>
          </w14:textFill>
        </w:rPr>
        <w:t>淮南市</w:t>
      </w:r>
      <w:r>
        <w:rPr>
          <w:rFonts w:hint="eastAsia" w:ascii="宋体" w:hAnsi="宋体" w:eastAsia="宋体" w:cs="宋体"/>
          <w:i w:val="0"/>
          <w:iCs w:val="0"/>
          <w:caps w:val="0"/>
          <w:color w:val="000000" w:themeColor="text1"/>
          <w:spacing w:val="0"/>
          <w:kern w:val="0"/>
          <w:sz w:val="32"/>
          <w:szCs w:val="32"/>
          <w:u w:val="single"/>
          <w:shd w:val="clear" w:fill="FFFFFF"/>
          <w:vertAlign w:val="baseline"/>
          <w:lang w:val="en-US" w:eastAsia="zh-CN" w:bidi="ar"/>
          <w14:textFill>
            <w14:solidFill>
              <w14:schemeClr w14:val="tx1"/>
            </w14:solidFill>
          </w14:textFill>
        </w:rPr>
        <w:t>八公山区狮子山废弃矿山生态修复项目土方工程</w:t>
      </w:r>
    </w:p>
    <w:p w14:paraId="0504A0D3">
      <w:pPr>
        <w:spacing w:line="600" w:lineRule="auto"/>
        <w:rPr>
          <w:rFonts w:hint="eastAsia" w:ascii="宋体" w:hAnsi="宋体" w:eastAsia="宋体" w:cs="宋体"/>
          <w:b w:val="0"/>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val="0"/>
          <w:bCs/>
          <w:color w:val="000000" w:themeColor="text1"/>
          <w:sz w:val="32"/>
          <w:szCs w:val="32"/>
          <w:highlight w:val="none"/>
          <w:u w:val="none"/>
          <w14:textFill>
            <w14:solidFill>
              <w14:schemeClr w14:val="tx1"/>
            </w14:solidFill>
          </w14:textFill>
        </w:rPr>
        <w:t>甲</w:t>
      </w:r>
      <w:r>
        <w:rPr>
          <w:rFonts w:hint="eastAsia" w:ascii="宋体" w:hAnsi="宋体" w:eastAsia="宋体" w:cs="宋体"/>
          <w:b w:val="0"/>
          <w:bCs/>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b w:val="0"/>
          <w:bCs/>
          <w:color w:val="000000" w:themeColor="text1"/>
          <w:sz w:val="32"/>
          <w:szCs w:val="32"/>
          <w:highlight w:val="none"/>
          <w:u w:val="none"/>
          <w14:textFill>
            <w14:solidFill>
              <w14:schemeClr w14:val="tx1"/>
            </w14:solidFill>
          </w14:textFill>
        </w:rPr>
        <w:t>方</w:t>
      </w:r>
      <w:r>
        <w:rPr>
          <w:rFonts w:hint="eastAsia" w:ascii="宋体" w:hAnsi="宋体" w:eastAsia="宋体" w:cs="宋体"/>
          <w:b w:val="0"/>
          <w:bCs/>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b w:val="0"/>
          <w:bCs/>
          <w:color w:val="000000" w:themeColor="text1"/>
          <w:sz w:val="32"/>
          <w:szCs w:val="32"/>
          <w:highlight w:val="none"/>
          <w:u w:val="single"/>
          <w14:textFill>
            <w14:solidFill>
              <w14:schemeClr w14:val="tx1"/>
            </w14:solidFill>
          </w14:textFill>
        </w:rPr>
        <w:t>安徽新集矿山建设工程有限公司</w:t>
      </w:r>
      <w:r>
        <w:rPr>
          <w:rFonts w:hint="eastAsia" w:ascii="宋体" w:hAnsi="宋体" w:eastAsia="宋体" w:cs="宋体"/>
          <w:b w:val="0"/>
          <w:bCs/>
          <w:color w:val="000000" w:themeColor="text1"/>
          <w:sz w:val="32"/>
          <w:szCs w:val="32"/>
          <w:highlight w:val="none"/>
          <w:u w:val="single"/>
          <w:lang w:val="en-US" w:eastAsia="zh-CN"/>
          <w14:textFill>
            <w14:solidFill>
              <w14:schemeClr w14:val="tx1"/>
            </w14:solidFill>
          </w14:textFill>
        </w:rPr>
        <w:t xml:space="preserve">八公山分公司   </w:t>
      </w:r>
    </w:p>
    <w:p w14:paraId="771033DC">
      <w:pPr>
        <w:spacing w:line="600" w:lineRule="auto"/>
        <w:rPr>
          <w:rFonts w:hint="eastAsia" w:ascii="宋体" w:hAnsi="宋体" w:eastAsia="宋体" w:cs="宋体"/>
          <w:b w:val="0"/>
          <w:bCs w:val="0"/>
          <w:color w:val="000000" w:themeColor="text1"/>
          <w:sz w:val="32"/>
          <w:szCs w:val="32"/>
          <w:highlight w:val="none"/>
          <w:lang w:eastAsia="zh-CN"/>
          <w14:textFill>
            <w14:solidFill>
              <w14:schemeClr w14:val="tx1"/>
            </w14:solidFill>
          </w14:textFill>
        </w:rPr>
      </w:pPr>
      <w:r>
        <w:rPr>
          <w:rFonts w:hint="eastAsia" w:ascii="宋体" w:hAnsi="宋体" w:eastAsia="宋体" w:cs="宋体"/>
          <w:b w:val="0"/>
          <w:bCs/>
          <w:color w:val="000000" w:themeColor="text1"/>
          <w:sz w:val="32"/>
          <w:szCs w:val="32"/>
          <w:highlight w:val="none"/>
          <w:u w:val="none"/>
          <w14:textFill>
            <w14:solidFill>
              <w14:schemeClr w14:val="tx1"/>
            </w14:solidFill>
          </w14:textFill>
        </w:rPr>
        <w:t>乙</w:t>
      </w:r>
      <w:r>
        <w:rPr>
          <w:rFonts w:hint="eastAsia" w:ascii="宋体" w:hAnsi="宋体" w:eastAsia="宋体" w:cs="宋体"/>
          <w:b w:val="0"/>
          <w:bCs/>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b w:val="0"/>
          <w:bCs/>
          <w:color w:val="000000" w:themeColor="text1"/>
          <w:sz w:val="32"/>
          <w:szCs w:val="32"/>
          <w:highlight w:val="none"/>
          <w:u w:val="none"/>
          <w14:textFill>
            <w14:solidFill>
              <w14:schemeClr w14:val="tx1"/>
            </w14:solidFill>
          </w14:textFill>
        </w:rPr>
        <w:t>方</w:t>
      </w:r>
      <w:r>
        <w:rPr>
          <w:rFonts w:hint="eastAsia" w:ascii="宋体" w:hAnsi="宋体" w:eastAsia="宋体" w:cs="宋体"/>
          <w:b w:val="0"/>
          <w:bCs/>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b w:val="0"/>
          <w:bCs/>
          <w:color w:val="000000" w:themeColor="text1"/>
          <w:sz w:val="32"/>
          <w:szCs w:val="32"/>
          <w:highlight w:val="none"/>
          <w:u w:val="single"/>
          <w:lang w:val="en-US" w:eastAsia="zh-CN"/>
          <w14:textFill>
            <w14:solidFill>
              <w14:schemeClr w14:val="tx1"/>
            </w14:solidFill>
          </w14:textFill>
        </w:rPr>
        <w:t xml:space="preserve">                                           </w:t>
      </w:r>
    </w:p>
    <w:p w14:paraId="1BC49100">
      <w:pPr>
        <w:pStyle w:val="2"/>
        <w:rPr>
          <w:rFonts w:hint="eastAsia"/>
          <w:lang w:eastAsia="zh-CN"/>
        </w:rPr>
      </w:pPr>
      <w:bookmarkStart w:id="0" w:name="_GoBack"/>
      <w:bookmarkEnd w:id="0"/>
    </w:p>
    <w:p w14:paraId="114174B8">
      <w:pPr>
        <w:keepNext w:val="0"/>
        <w:keepLines w:val="0"/>
        <w:pageBreakBefore w:val="0"/>
        <w:kinsoku/>
        <w:wordWrap/>
        <w:overflowPunct/>
        <w:topLinePunct w:val="0"/>
        <w:autoSpaceDE/>
        <w:autoSpaceDN/>
        <w:bidi w:val="0"/>
        <w:spacing w:line="360" w:lineRule="auto"/>
        <w:jc w:val="center"/>
        <w:rPr>
          <w:rFonts w:hint="eastAsia"/>
          <w:b w:val="0"/>
          <w:bCs w:val="0"/>
          <w:sz w:val="36"/>
          <w:szCs w:val="36"/>
          <w:highlight w:val="none"/>
        </w:rPr>
      </w:pPr>
      <w:r>
        <w:rPr>
          <w:rFonts w:hint="eastAsia"/>
          <w:b w:val="0"/>
          <w:bCs w:val="0"/>
          <w:sz w:val="36"/>
          <w:szCs w:val="36"/>
          <w:highlight w:val="none"/>
          <w:lang w:val="en-US" w:eastAsia="zh-CN"/>
        </w:rPr>
        <w:t>土方工程</w:t>
      </w:r>
      <w:r>
        <w:rPr>
          <w:rFonts w:hint="eastAsia"/>
          <w:b w:val="0"/>
          <w:bCs w:val="0"/>
          <w:sz w:val="36"/>
          <w:szCs w:val="36"/>
          <w:highlight w:val="none"/>
        </w:rPr>
        <w:t>分包合同</w:t>
      </w:r>
    </w:p>
    <w:p w14:paraId="0D170F1A">
      <w:pPr>
        <w:keepNext w:val="0"/>
        <w:keepLines w:val="0"/>
        <w:pageBreakBefore w:val="0"/>
        <w:kinsoku/>
        <w:wordWrap/>
        <w:overflowPunct/>
        <w:topLinePunct w:val="0"/>
        <w:autoSpaceDE/>
        <w:autoSpaceDN/>
        <w:bidi w:val="0"/>
        <w:spacing w:line="360" w:lineRule="auto"/>
        <w:jc w:val="center"/>
        <w:rPr>
          <w:rFonts w:hint="eastAsia"/>
          <w:b w:val="0"/>
          <w:bCs w:val="0"/>
          <w:sz w:val="24"/>
          <w:szCs w:val="24"/>
          <w:highlight w:val="none"/>
        </w:rPr>
      </w:pPr>
    </w:p>
    <w:p w14:paraId="3A5E1BC2">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甲方（发包人）：</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安徽新集矿山建设工程有限公司八公山分公司</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627B8BE4">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乙方（承包人）：</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p>
    <w:p w14:paraId="40E4E43B">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依据国家《中华人民共和国民法典》及有关法律法规及安徽新集建工八公山分公司相关管理制度，本着平等互利、自愿的原则，甲方把</w:t>
      </w:r>
      <w:r>
        <w:rPr>
          <w:rFonts w:hint="eastAsia" w:ascii="宋体" w:hAnsi="宋体" w:eastAsia="宋体" w:cs="宋体"/>
          <w:i w:val="0"/>
          <w:iCs w:val="0"/>
          <w:caps w:val="0"/>
          <w:color w:val="auto"/>
          <w:spacing w:val="0"/>
          <w:kern w:val="0"/>
          <w:sz w:val="24"/>
          <w:szCs w:val="24"/>
          <w:shd w:val="clear" w:fill="FFFFFF"/>
          <w:vertAlign w:val="baseline"/>
          <w:lang w:val="en-US" w:eastAsia="zh-CN" w:bidi="ar"/>
        </w:rPr>
        <w:t>淮南市八公山区狮子山废弃矿山生态修复项目土方工程</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lang w:val="en-US" w:eastAsia="zh-CN"/>
          <w14:textFill>
            <w14:solidFill>
              <w14:schemeClr w14:val="tx1"/>
            </w14:solidFill>
          </w14:textFill>
        </w:rPr>
        <w:t>给乙方，经双方协商一致，达成以下信守条款，双方共同遵守执行。</w:t>
      </w:r>
    </w:p>
    <w:p w14:paraId="03E41A2C">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b/>
          <w:bCs/>
          <w:color w:val="000000" w:themeColor="text1"/>
          <w:sz w:val="24"/>
          <w:szCs w:val="24"/>
          <w:highlight w:val="none"/>
          <w14:textFill>
            <w14:solidFill>
              <w14:schemeClr w14:val="tx1"/>
            </w14:solidFill>
          </w14:textFill>
        </w:rPr>
        <w:t>工程概况</w:t>
      </w:r>
    </w:p>
    <w:p w14:paraId="4E1D6786">
      <w:pPr>
        <w:keepNext w:val="0"/>
        <w:keepLines w:val="0"/>
        <w:pageBreakBefore w:val="0"/>
        <w:kinsoku/>
        <w:wordWrap/>
        <w:overflowPunct/>
        <w:topLinePunct w:val="0"/>
        <w:autoSpaceDE/>
        <w:autoSpaceDN/>
        <w:bidi w:val="0"/>
        <w:spacing w:line="360" w:lineRule="auto"/>
        <w:ind w:left="1600" w:hanging="1200" w:hangingChars="500"/>
        <w:rPr>
          <w:rFonts w:hint="eastAsia" w:ascii="宋体" w:hAnsi="宋体" w:eastAsia="宋体" w:cs="宋体"/>
          <w:i w:val="0"/>
          <w:iCs w:val="0"/>
          <w:caps w:val="0"/>
          <w:color w:val="000000" w:themeColor="text1"/>
          <w:spacing w:val="0"/>
          <w:kern w:val="0"/>
          <w:sz w:val="24"/>
          <w:szCs w:val="24"/>
          <w:shd w:val="clear" w:fill="FFFFFF"/>
          <w:vertAlign w:val="baseline"/>
          <w:lang w:val="en-US" w:eastAsia="zh-CN" w:bidi="ar"/>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1.1 </w:t>
      </w:r>
      <w:r>
        <w:rPr>
          <w:rFonts w:hint="eastAsia" w:ascii="宋体" w:hAnsi="宋体" w:eastAsia="宋体" w:cs="宋体"/>
          <w:color w:val="000000" w:themeColor="text1"/>
          <w:sz w:val="24"/>
          <w:szCs w:val="24"/>
          <w:highlight w:val="none"/>
          <w:lang w:val="en-US" w:eastAsia="zh-CN"/>
          <w14:textFill>
            <w14:solidFill>
              <w14:schemeClr w14:val="tx1"/>
            </w14:solidFill>
          </w14:textFill>
        </w:rPr>
        <w:t>项目名称：</w:t>
      </w:r>
      <w:r>
        <w:rPr>
          <w:rFonts w:hint="eastAsia" w:ascii="宋体" w:hAnsi="宋体" w:eastAsia="宋体" w:cs="宋体"/>
          <w:b w:val="0"/>
          <w:bCs/>
          <w:color w:val="000000" w:themeColor="text1"/>
          <w:sz w:val="24"/>
          <w:szCs w:val="24"/>
          <w:highlight w:val="none"/>
          <w:u w:val="single"/>
          <w:lang w:val="en-US" w:eastAsia="zh-CN"/>
          <w14:textFill>
            <w14:solidFill>
              <w14:schemeClr w14:val="tx1"/>
            </w14:solidFill>
          </w14:textFill>
        </w:rPr>
        <w:t>淮南市</w:t>
      </w:r>
      <w:r>
        <w:rPr>
          <w:rFonts w:hint="eastAsia" w:ascii="宋体" w:hAnsi="宋体" w:eastAsia="宋体" w:cs="宋体"/>
          <w:i w:val="0"/>
          <w:iCs w:val="0"/>
          <w:caps w:val="0"/>
          <w:color w:val="000000" w:themeColor="text1"/>
          <w:spacing w:val="0"/>
          <w:kern w:val="0"/>
          <w:sz w:val="24"/>
          <w:szCs w:val="24"/>
          <w:u w:val="single"/>
          <w:shd w:val="clear" w:fill="FFFFFF"/>
          <w:vertAlign w:val="baseline"/>
          <w:lang w:val="en-US" w:eastAsia="zh-CN" w:bidi="ar"/>
          <w14:textFill>
            <w14:solidFill>
              <w14:schemeClr w14:val="tx1"/>
            </w14:solidFill>
          </w14:textFill>
        </w:rPr>
        <w:t>八公山区狮子山废弃矿山生态修复项目土方工程</w:t>
      </w:r>
    </w:p>
    <w:p w14:paraId="53BF713A">
      <w:pPr>
        <w:keepNext w:val="0"/>
        <w:keepLines w:val="0"/>
        <w:pageBreakBefore w:val="0"/>
        <w:numPr>
          <w:ilvl w:val="0"/>
          <w:numId w:val="0"/>
        </w:numPr>
        <w:kinsoku/>
        <w:wordWrap/>
        <w:overflowPunct/>
        <w:topLinePunct w:val="0"/>
        <w:autoSpaceDE/>
        <w:autoSpaceDN/>
        <w:bidi w:val="0"/>
        <w:adjustRightInd w:val="0"/>
        <w:snapToGrid w:val="0"/>
        <w:spacing w:line="360" w:lineRule="auto"/>
        <w:jc w:val="left"/>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1.2 </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分包工程名称：</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土方工程</w:t>
      </w:r>
    </w:p>
    <w:p w14:paraId="2A47F88E">
      <w:pPr>
        <w:keepNext w:val="0"/>
        <w:keepLines w:val="0"/>
        <w:pageBreakBefore w:val="0"/>
        <w:numPr>
          <w:ilvl w:val="0"/>
          <w:numId w:val="0"/>
        </w:numPr>
        <w:kinsoku/>
        <w:wordWrap/>
        <w:overflowPunct/>
        <w:topLinePunct w:val="0"/>
        <w:autoSpaceDE/>
        <w:autoSpaceDN/>
        <w:bidi w:val="0"/>
        <w:adjustRightInd w:val="0"/>
        <w:snapToGrid w:val="0"/>
        <w:spacing w:line="360" w:lineRule="auto"/>
        <w:ind w:left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工程地址：</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淮南市八公山区</w:t>
      </w:r>
    </w:p>
    <w:p w14:paraId="5160A777">
      <w:pPr>
        <w:keepNext w:val="0"/>
        <w:keepLines w:val="0"/>
        <w:pageBreakBefore w:val="0"/>
        <w:numPr>
          <w:ilvl w:val="0"/>
          <w:numId w:val="0"/>
        </w:numPr>
        <w:kinsoku/>
        <w:wordWrap/>
        <w:overflowPunct/>
        <w:topLinePunct w:val="0"/>
        <w:autoSpaceDE/>
        <w:autoSpaceDN/>
        <w:bidi w:val="0"/>
        <w:adjustRightInd w:val="0"/>
        <w:snapToGrid w:val="0"/>
        <w:spacing w:line="360" w:lineRule="auto"/>
        <w:ind w:leftChars="200"/>
        <w:jc w:val="left"/>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 总包单位：</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安徽新集矿山建设工程有限公司八公山分公司</w:t>
      </w:r>
    </w:p>
    <w:p w14:paraId="0D8CE47B">
      <w:pPr>
        <w:keepNext w:val="0"/>
        <w:keepLines w:val="0"/>
        <w:pageBreakBefore w:val="0"/>
        <w:numPr>
          <w:ilvl w:val="0"/>
          <w:numId w:val="0"/>
        </w:numPr>
        <w:kinsoku/>
        <w:wordWrap/>
        <w:overflowPunct/>
        <w:topLinePunct w:val="0"/>
        <w:autoSpaceDE/>
        <w:autoSpaceDN/>
        <w:bidi w:val="0"/>
        <w:adjustRightInd w:val="0"/>
        <w:snapToGrid w:val="0"/>
        <w:spacing w:line="360" w:lineRule="auto"/>
        <w:ind w:leftChars="200"/>
        <w:jc w:val="left"/>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1.5 分包单位：</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p>
    <w:p w14:paraId="47B37FF5">
      <w:pPr>
        <w:keepNext w:val="0"/>
        <w:keepLines w:val="0"/>
        <w:pageBreakBefore w:val="0"/>
        <w:numPr>
          <w:ilvl w:val="0"/>
          <w:numId w:val="0"/>
        </w:numPr>
        <w:kinsoku/>
        <w:wordWrap/>
        <w:overflowPunct/>
        <w:topLinePunct w:val="0"/>
        <w:autoSpaceDE/>
        <w:autoSpaceDN/>
        <w:bidi w:val="0"/>
        <w:adjustRightInd w:val="0"/>
        <w:snapToGrid w:val="0"/>
        <w:spacing w:line="360" w:lineRule="auto"/>
        <w:ind w:leftChars="200"/>
        <w:jc w:val="left"/>
        <w:rPr>
          <w:rFonts w:hint="eastAsia" w:ascii="宋体" w:hAnsi="宋体" w:eastAsia="宋体" w:cs="宋体"/>
          <w:snapToGrid w:val="0"/>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lang w:eastAsia="zh-CN"/>
          <w14:textFill>
            <w14:solidFill>
              <w14:schemeClr w14:val="tx1"/>
            </w14:solidFill>
          </w14:textFill>
        </w:rPr>
        <w:t>二、</w:t>
      </w:r>
      <w:r>
        <w:rPr>
          <w:rFonts w:hint="eastAsia" w:ascii="宋体" w:hAnsi="宋体" w:eastAsia="宋体" w:cs="宋体"/>
          <w:b/>
          <w:color w:val="000000" w:themeColor="text1"/>
          <w:sz w:val="24"/>
          <w:szCs w:val="24"/>
          <w:highlight w:val="none"/>
          <w14:textFill>
            <w14:solidFill>
              <w14:schemeClr w14:val="tx1"/>
            </w14:solidFill>
          </w14:textFill>
        </w:rPr>
        <w:t xml:space="preserve"> 承包范围</w:t>
      </w:r>
    </w:p>
    <w:p w14:paraId="49ACC4DB">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2.1承包方式：</w:t>
      </w:r>
    </w:p>
    <w:p w14:paraId="4245EE45">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综合单价（</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土方回填、运输、修坡、道路通行、排水、包工期、包质量、包安全、包文明施工（裸露土方覆盖）、并由投标方自供设备（如现场车辆冲洗设备等）的形式承包施工</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4CC76079">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2.2</w:t>
      </w:r>
      <w:r>
        <w:rPr>
          <w:rFonts w:hint="eastAsia" w:ascii="宋体" w:hAnsi="宋体" w:eastAsia="宋体" w:cs="宋体"/>
          <w:color w:val="000000"/>
          <w:sz w:val="24"/>
          <w:szCs w:val="24"/>
          <w:highlight w:val="none"/>
          <w:lang w:val="zh-CN" w:eastAsia="zh-CN"/>
        </w:rPr>
        <w:t>现场不提供分包方人员食宿，本分包工程为包工包料，现场</w:t>
      </w:r>
      <w:r>
        <w:rPr>
          <w:rFonts w:hint="eastAsia" w:ascii="宋体" w:hAnsi="宋体" w:eastAsia="宋体" w:cs="宋体"/>
          <w:color w:val="000000"/>
          <w:sz w:val="24"/>
          <w:szCs w:val="24"/>
          <w:highlight w:val="none"/>
          <w:lang w:val="en-US" w:eastAsia="zh-CN"/>
        </w:rPr>
        <w:t>使</w:t>
      </w:r>
      <w:r>
        <w:rPr>
          <w:rFonts w:hint="eastAsia" w:ascii="宋体" w:hAnsi="宋体" w:eastAsia="宋体" w:cs="宋体"/>
          <w:color w:val="000000"/>
          <w:sz w:val="24"/>
          <w:szCs w:val="24"/>
          <w:highlight w:val="none"/>
          <w:lang w:val="zh-CN" w:eastAsia="zh-CN"/>
        </w:rPr>
        <w:t>用的所有主辅材及小型工具、机械均由分包方自理。施工用电、用水由</w:t>
      </w:r>
      <w:r>
        <w:rPr>
          <w:rFonts w:hint="eastAsia" w:ascii="宋体" w:hAnsi="宋体" w:eastAsia="宋体" w:cs="宋体"/>
          <w:color w:val="000000"/>
          <w:sz w:val="24"/>
          <w:szCs w:val="24"/>
          <w:highlight w:val="none"/>
          <w:lang w:val="en-US" w:eastAsia="zh-CN"/>
        </w:rPr>
        <w:t>总</w:t>
      </w:r>
      <w:r>
        <w:rPr>
          <w:rFonts w:hint="eastAsia" w:ascii="宋体" w:hAnsi="宋体" w:eastAsia="宋体" w:cs="宋体"/>
          <w:color w:val="000000"/>
          <w:sz w:val="24"/>
          <w:szCs w:val="24"/>
          <w:highlight w:val="none"/>
          <w:lang w:val="zh-CN" w:eastAsia="zh-CN"/>
        </w:rPr>
        <w:t>包</w:t>
      </w:r>
      <w:r>
        <w:rPr>
          <w:rFonts w:hint="eastAsia" w:ascii="宋体" w:hAnsi="宋体" w:eastAsia="宋体" w:cs="宋体"/>
          <w:color w:val="000000"/>
          <w:sz w:val="24"/>
          <w:szCs w:val="24"/>
          <w:highlight w:val="none"/>
          <w:lang w:val="en-US" w:eastAsia="zh-CN"/>
        </w:rPr>
        <w:t>方</w:t>
      </w:r>
      <w:r>
        <w:rPr>
          <w:rFonts w:hint="eastAsia" w:ascii="宋体" w:hAnsi="宋体" w:eastAsia="宋体" w:cs="宋体"/>
          <w:color w:val="000000"/>
          <w:sz w:val="24"/>
          <w:szCs w:val="24"/>
          <w:highlight w:val="none"/>
          <w:lang w:val="zh-CN" w:eastAsia="zh-CN"/>
        </w:rPr>
        <w:t>提供，垂直水平运输均由乙方自理，现场垂直提升设备若有</w:t>
      </w:r>
      <w:r>
        <w:rPr>
          <w:rFonts w:hint="eastAsia" w:ascii="宋体" w:hAnsi="宋体" w:eastAsia="宋体" w:cs="宋体"/>
          <w:color w:val="000000"/>
          <w:sz w:val="24"/>
          <w:szCs w:val="24"/>
          <w:highlight w:val="none"/>
          <w:lang w:val="en-US" w:eastAsia="zh-CN"/>
        </w:rPr>
        <w:t>甲方</w:t>
      </w:r>
      <w:r>
        <w:rPr>
          <w:rFonts w:hint="eastAsia" w:ascii="宋体" w:hAnsi="宋体" w:eastAsia="宋体" w:cs="宋体"/>
          <w:color w:val="000000"/>
          <w:sz w:val="24"/>
          <w:szCs w:val="24"/>
          <w:highlight w:val="none"/>
          <w:lang w:val="zh-CN" w:eastAsia="zh-CN"/>
        </w:rPr>
        <w:t>可提供使用，若无乙方自理。</w:t>
      </w:r>
    </w:p>
    <w:p w14:paraId="52B1345F">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zh-CN" w:eastAsia="zh-CN"/>
        </w:rPr>
      </w:pPr>
      <w:r>
        <w:rPr>
          <w:rFonts w:hint="eastAsia" w:ascii="宋体" w:hAnsi="宋体" w:eastAsia="宋体" w:cs="宋体"/>
          <w:color w:val="000000"/>
          <w:sz w:val="24"/>
          <w:szCs w:val="24"/>
          <w:highlight w:val="none"/>
          <w:lang w:val="en-US" w:eastAsia="zh-CN"/>
        </w:rPr>
        <w:t>2.3分包</w:t>
      </w:r>
      <w:r>
        <w:rPr>
          <w:rFonts w:hint="eastAsia" w:ascii="宋体" w:hAnsi="宋体" w:eastAsia="宋体" w:cs="宋体"/>
          <w:color w:val="000000"/>
          <w:sz w:val="24"/>
          <w:szCs w:val="24"/>
          <w:highlight w:val="none"/>
          <w:lang w:val="zh-CN" w:eastAsia="zh-CN"/>
        </w:rPr>
        <w:t>方材料进场后由</w:t>
      </w:r>
      <w:r>
        <w:rPr>
          <w:rFonts w:hint="eastAsia" w:ascii="宋体" w:hAnsi="宋体" w:eastAsia="宋体" w:cs="宋体"/>
          <w:color w:val="000000"/>
          <w:sz w:val="24"/>
          <w:szCs w:val="24"/>
          <w:highlight w:val="none"/>
          <w:lang w:val="en-US" w:eastAsia="zh-CN"/>
        </w:rPr>
        <w:t>甲方</w:t>
      </w:r>
      <w:r>
        <w:rPr>
          <w:rFonts w:hint="eastAsia" w:ascii="宋体" w:hAnsi="宋体" w:eastAsia="宋体" w:cs="宋体"/>
          <w:color w:val="000000"/>
          <w:sz w:val="24"/>
          <w:szCs w:val="24"/>
          <w:highlight w:val="none"/>
          <w:lang w:val="zh-CN" w:eastAsia="zh-CN"/>
        </w:rPr>
        <w:t>安排专人进行抽检、送检，各项检测、试验费用均由</w:t>
      </w:r>
      <w:r>
        <w:rPr>
          <w:rFonts w:hint="eastAsia" w:ascii="宋体" w:hAnsi="宋体" w:eastAsia="宋体" w:cs="宋体"/>
          <w:color w:val="000000"/>
          <w:sz w:val="24"/>
          <w:szCs w:val="24"/>
          <w:highlight w:val="none"/>
          <w:lang w:val="en-US" w:eastAsia="zh-CN"/>
        </w:rPr>
        <w:t>分包</w:t>
      </w:r>
      <w:r>
        <w:rPr>
          <w:rFonts w:hint="eastAsia" w:ascii="宋体" w:hAnsi="宋体" w:eastAsia="宋体" w:cs="宋体"/>
          <w:color w:val="000000"/>
          <w:sz w:val="24"/>
          <w:szCs w:val="24"/>
          <w:highlight w:val="none"/>
          <w:lang w:val="zh-CN" w:eastAsia="zh-CN"/>
        </w:rPr>
        <w:t>方承担，材料进场后必须经检测、验收合格后方可使用；同时</w:t>
      </w:r>
      <w:r>
        <w:rPr>
          <w:rFonts w:hint="eastAsia" w:ascii="宋体" w:hAnsi="宋体" w:eastAsia="宋体" w:cs="宋体"/>
          <w:color w:val="000000"/>
          <w:sz w:val="24"/>
          <w:szCs w:val="24"/>
          <w:highlight w:val="none"/>
          <w:lang w:val="en-US" w:eastAsia="zh-CN"/>
        </w:rPr>
        <w:t>分包</w:t>
      </w:r>
      <w:r>
        <w:rPr>
          <w:rFonts w:hint="eastAsia" w:ascii="宋体" w:hAnsi="宋体" w:eastAsia="宋体" w:cs="宋体"/>
          <w:color w:val="000000"/>
          <w:sz w:val="24"/>
          <w:szCs w:val="24"/>
          <w:highlight w:val="none"/>
          <w:lang w:val="zh-CN" w:eastAsia="zh-CN"/>
        </w:rPr>
        <w:t>方必须提供材料检测报告、合格证等质量证明文件一式四份，其中原件不少于三份。</w:t>
      </w:r>
    </w:p>
    <w:p w14:paraId="5BA79378">
      <w:pPr>
        <w:keepNext w:val="0"/>
        <w:keepLines w:val="0"/>
        <w:pageBreakBefore w:val="0"/>
        <w:numPr>
          <w:ilvl w:val="0"/>
          <w:numId w:val="3"/>
        </w:numPr>
        <w:kinsoku/>
        <w:wordWrap/>
        <w:overflowPunct/>
        <w:topLinePunct w:val="0"/>
        <w:autoSpaceDE/>
        <w:autoSpaceDN/>
        <w:bidi w:val="0"/>
        <w:adjustRightInd w:val="0"/>
        <w:snapToGrid w:val="0"/>
        <w:spacing w:line="360" w:lineRule="auto"/>
        <w:ind w:firstLine="482" w:firstLineChars="200"/>
        <w:jc w:val="left"/>
        <w:rPr>
          <w:rFonts w:hint="eastAsia" w:ascii="宋体" w:hAnsi="宋体" w:eastAsia="宋体" w:cs="宋体"/>
          <w:sz w:val="24"/>
          <w:szCs w:val="24"/>
          <w:highlight w:val="none"/>
          <w:lang w:val="en-US" w:eastAsia="zh-CN"/>
        </w:rPr>
      </w:pPr>
      <w:r>
        <w:rPr>
          <w:rFonts w:hint="eastAsia" w:ascii="宋体" w:hAnsi="宋体" w:eastAsia="宋体" w:cs="宋体"/>
          <w:b/>
          <w:sz w:val="24"/>
          <w:szCs w:val="24"/>
          <w:highlight w:val="none"/>
          <w:lang w:val="en-US" w:eastAsia="zh-CN"/>
        </w:rPr>
        <w:t>合同价款</w:t>
      </w:r>
    </w:p>
    <w:tbl>
      <w:tblPr>
        <w:tblStyle w:val="7"/>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577"/>
        <w:gridCol w:w="3036"/>
        <w:gridCol w:w="589"/>
        <w:gridCol w:w="936"/>
        <w:gridCol w:w="1084"/>
        <w:gridCol w:w="1053"/>
        <w:gridCol w:w="1217"/>
      </w:tblGrid>
      <w:tr w14:paraId="293DC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054" w:type="dxa"/>
            <w:gridSpan w:val="8"/>
            <w:tcBorders>
              <w:top w:val="nil"/>
              <w:left w:val="nil"/>
              <w:bottom w:val="single" w:color="auto" w:sz="4" w:space="0"/>
              <w:right w:val="nil"/>
            </w:tcBorders>
            <w:vAlign w:val="center"/>
          </w:tcPr>
          <w:p w14:paraId="6784D1D0">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2"/>
                <w:szCs w:val="22"/>
                <w:vertAlign w:val="baseline"/>
                <w:lang w:val="en-US" w:eastAsia="zh-CN"/>
              </w:rPr>
            </w:pPr>
            <w:r>
              <w:rPr>
                <w:rFonts w:hint="eastAsia" w:ascii="宋体" w:hAnsi="宋体" w:eastAsia="宋体" w:cs="宋体"/>
                <w:b/>
                <w:bCs/>
                <w:color w:val="000000"/>
                <w:sz w:val="22"/>
                <w:szCs w:val="22"/>
              </w:rPr>
              <w:t>工程量一览表</w:t>
            </w:r>
          </w:p>
        </w:tc>
      </w:tr>
      <w:tr w14:paraId="6668A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2" w:type="dxa"/>
            <w:tcBorders>
              <w:top w:val="single" w:color="auto" w:sz="4" w:space="0"/>
            </w:tcBorders>
            <w:vAlign w:val="center"/>
          </w:tcPr>
          <w:p w14:paraId="46A950B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2"/>
                <w:szCs w:val="22"/>
                <w:vertAlign w:val="baseline"/>
                <w:lang w:val="en-US" w:eastAsia="zh-CN"/>
              </w:rPr>
            </w:pPr>
            <w:r>
              <w:rPr>
                <w:rFonts w:hint="eastAsia" w:ascii="宋体" w:hAnsi="宋体" w:eastAsia="宋体" w:cs="宋体"/>
                <w:b/>
                <w:bCs/>
                <w:i w:val="0"/>
                <w:iCs w:val="0"/>
                <w:color w:val="000000"/>
                <w:kern w:val="0"/>
                <w:sz w:val="22"/>
                <w:szCs w:val="22"/>
                <w:u w:val="none"/>
                <w:lang w:val="en-US" w:eastAsia="zh-CN" w:bidi="ar"/>
              </w:rPr>
              <w:t>序号</w:t>
            </w:r>
          </w:p>
        </w:tc>
        <w:tc>
          <w:tcPr>
            <w:tcW w:w="577" w:type="dxa"/>
            <w:tcBorders>
              <w:top w:val="single" w:color="auto" w:sz="4" w:space="0"/>
            </w:tcBorders>
            <w:vAlign w:val="center"/>
          </w:tcPr>
          <w:p w14:paraId="2CB301F3">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2"/>
                <w:szCs w:val="22"/>
                <w:vertAlign w:val="baseline"/>
                <w:lang w:val="en-US" w:eastAsia="zh-CN"/>
              </w:rPr>
            </w:pPr>
            <w:r>
              <w:rPr>
                <w:rFonts w:hint="eastAsia" w:ascii="宋体" w:hAnsi="宋体" w:eastAsia="宋体" w:cs="宋体"/>
                <w:b/>
                <w:bCs/>
                <w:i w:val="0"/>
                <w:iCs w:val="0"/>
                <w:color w:val="000000"/>
                <w:kern w:val="0"/>
                <w:sz w:val="22"/>
                <w:szCs w:val="22"/>
                <w:u w:val="none"/>
                <w:lang w:val="en-US" w:eastAsia="zh-CN" w:bidi="ar"/>
              </w:rPr>
              <w:t>项目名称</w:t>
            </w:r>
          </w:p>
        </w:tc>
        <w:tc>
          <w:tcPr>
            <w:tcW w:w="3036" w:type="dxa"/>
            <w:tcBorders>
              <w:top w:val="single" w:color="auto" w:sz="4" w:space="0"/>
            </w:tcBorders>
            <w:vAlign w:val="center"/>
          </w:tcPr>
          <w:p w14:paraId="044650DF">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2"/>
                <w:szCs w:val="22"/>
                <w:vertAlign w:val="baseline"/>
                <w:lang w:val="en-US" w:eastAsia="zh-CN"/>
              </w:rPr>
            </w:pPr>
            <w:r>
              <w:rPr>
                <w:rFonts w:hint="eastAsia" w:ascii="宋体" w:hAnsi="宋体" w:eastAsia="宋体" w:cs="宋体"/>
                <w:b/>
                <w:bCs/>
                <w:i w:val="0"/>
                <w:iCs w:val="0"/>
                <w:color w:val="000000"/>
                <w:kern w:val="0"/>
                <w:sz w:val="22"/>
                <w:szCs w:val="22"/>
                <w:u w:val="none"/>
                <w:lang w:val="en-US" w:eastAsia="zh-CN" w:bidi="ar"/>
              </w:rPr>
              <w:t>项目特征描述</w:t>
            </w:r>
          </w:p>
        </w:tc>
        <w:tc>
          <w:tcPr>
            <w:tcW w:w="589" w:type="dxa"/>
            <w:tcBorders>
              <w:top w:val="single" w:color="auto" w:sz="4" w:space="0"/>
            </w:tcBorders>
            <w:vAlign w:val="center"/>
          </w:tcPr>
          <w:p w14:paraId="59E5B989">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2"/>
                <w:szCs w:val="22"/>
                <w:vertAlign w:val="baseline"/>
                <w:lang w:val="en-US" w:eastAsia="zh-CN"/>
              </w:rPr>
            </w:pPr>
            <w:r>
              <w:rPr>
                <w:rFonts w:hint="eastAsia" w:ascii="宋体" w:hAnsi="宋体" w:eastAsia="宋体" w:cs="宋体"/>
                <w:b/>
                <w:bCs/>
                <w:i w:val="0"/>
                <w:iCs w:val="0"/>
                <w:color w:val="000000"/>
                <w:kern w:val="0"/>
                <w:sz w:val="22"/>
                <w:szCs w:val="22"/>
                <w:u w:val="none"/>
                <w:lang w:val="en-US" w:eastAsia="zh-CN" w:bidi="ar"/>
              </w:rPr>
              <w:t>单位</w:t>
            </w:r>
          </w:p>
        </w:tc>
        <w:tc>
          <w:tcPr>
            <w:tcW w:w="936" w:type="dxa"/>
            <w:tcBorders>
              <w:top w:val="single" w:color="auto" w:sz="4" w:space="0"/>
            </w:tcBorders>
            <w:vAlign w:val="center"/>
          </w:tcPr>
          <w:p w14:paraId="5F17140E">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2"/>
                <w:szCs w:val="22"/>
                <w:vertAlign w:val="baseline"/>
                <w:lang w:val="en-US" w:eastAsia="zh-CN"/>
              </w:rPr>
            </w:pPr>
            <w:r>
              <w:rPr>
                <w:rFonts w:hint="eastAsia" w:ascii="宋体" w:hAnsi="宋体" w:eastAsia="宋体" w:cs="宋体"/>
                <w:b/>
                <w:bCs/>
                <w:i w:val="0"/>
                <w:iCs w:val="0"/>
                <w:color w:val="000000"/>
                <w:kern w:val="0"/>
                <w:sz w:val="22"/>
                <w:szCs w:val="22"/>
                <w:u w:val="none"/>
                <w:lang w:val="en-US" w:eastAsia="zh-CN" w:bidi="ar"/>
              </w:rPr>
              <w:t>计划用量</w:t>
            </w:r>
          </w:p>
        </w:tc>
        <w:tc>
          <w:tcPr>
            <w:tcW w:w="1084" w:type="dxa"/>
            <w:tcBorders>
              <w:top w:val="single" w:color="auto" w:sz="4" w:space="0"/>
            </w:tcBorders>
            <w:vAlign w:val="center"/>
          </w:tcPr>
          <w:p w14:paraId="0DAE4010">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2"/>
                <w:szCs w:val="22"/>
                <w:vertAlign w:val="baseline"/>
                <w:lang w:val="en-US" w:eastAsia="zh-CN"/>
              </w:rPr>
            </w:pPr>
            <w:r>
              <w:rPr>
                <w:rFonts w:hint="eastAsia" w:ascii="宋体" w:hAnsi="宋体" w:eastAsia="宋体" w:cs="宋体"/>
                <w:b/>
                <w:bCs/>
                <w:i w:val="0"/>
                <w:iCs w:val="0"/>
                <w:color w:val="000000"/>
                <w:kern w:val="0"/>
                <w:sz w:val="22"/>
                <w:szCs w:val="22"/>
                <w:u w:val="none"/>
                <w:lang w:val="en-US" w:eastAsia="zh-CN" w:bidi="ar"/>
              </w:rPr>
              <w:t>单价（元）</w:t>
            </w:r>
          </w:p>
        </w:tc>
        <w:tc>
          <w:tcPr>
            <w:tcW w:w="1053" w:type="dxa"/>
            <w:tcBorders>
              <w:top w:val="single" w:color="auto" w:sz="4" w:space="0"/>
            </w:tcBorders>
            <w:vAlign w:val="center"/>
          </w:tcPr>
          <w:p w14:paraId="7EC1DC07">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2"/>
                <w:szCs w:val="22"/>
                <w:vertAlign w:val="baseline"/>
                <w:lang w:val="en-US" w:eastAsia="zh-CN"/>
              </w:rPr>
            </w:pPr>
            <w:r>
              <w:rPr>
                <w:rFonts w:hint="eastAsia" w:ascii="宋体" w:hAnsi="宋体" w:eastAsia="宋体" w:cs="宋体"/>
                <w:b/>
                <w:bCs/>
                <w:i w:val="0"/>
                <w:iCs w:val="0"/>
                <w:color w:val="000000"/>
                <w:kern w:val="0"/>
                <w:sz w:val="22"/>
                <w:szCs w:val="22"/>
                <w:u w:val="none"/>
                <w:lang w:val="en-US" w:eastAsia="zh-CN" w:bidi="ar"/>
              </w:rPr>
              <w:t>总价（元）</w:t>
            </w:r>
          </w:p>
        </w:tc>
        <w:tc>
          <w:tcPr>
            <w:tcW w:w="1217" w:type="dxa"/>
            <w:tcBorders>
              <w:top w:val="single" w:color="auto" w:sz="4" w:space="0"/>
            </w:tcBorders>
            <w:vAlign w:val="center"/>
          </w:tcPr>
          <w:p w14:paraId="241D381E">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2"/>
                <w:szCs w:val="22"/>
                <w:vertAlign w:val="baseline"/>
                <w:lang w:val="en-US" w:eastAsia="zh-CN"/>
              </w:rPr>
            </w:pPr>
            <w:r>
              <w:rPr>
                <w:rFonts w:hint="eastAsia" w:ascii="宋体" w:hAnsi="宋体" w:eastAsia="宋体" w:cs="宋体"/>
                <w:b/>
                <w:bCs/>
                <w:i w:val="0"/>
                <w:iCs w:val="0"/>
                <w:color w:val="000000"/>
                <w:kern w:val="0"/>
                <w:sz w:val="22"/>
                <w:szCs w:val="22"/>
                <w:u w:val="none"/>
                <w:lang w:val="en-US" w:eastAsia="zh-CN" w:bidi="ar"/>
              </w:rPr>
              <w:t>要求</w:t>
            </w:r>
          </w:p>
        </w:tc>
      </w:tr>
      <w:tr w14:paraId="10B91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14:paraId="276E3C63">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577" w:type="dxa"/>
            <w:vAlign w:val="center"/>
          </w:tcPr>
          <w:p w14:paraId="2665F31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回填土</w:t>
            </w:r>
          </w:p>
        </w:tc>
        <w:tc>
          <w:tcPr>
            <w:tcW w:w="3036" w:type="dxa"/>
            <w:vAlign w:val="center"/>
          </w:tcPr>
          <w:p w14:paraId="197DE385">
            <w:pPr>
              <w:keepNext w:val="0"/>
              <w:keepLines w:val="0"/>
              <w:pageBreakBefore w:val="0"/>
              <w:widowControl/>
              <w:numPr>
                <w:ilvl w:val="0"/>
                <w:numId w:val="0"/>
              </w:numPr>
              <w:suppressLineNumbers w:val="0"/>
              <w:kinsoku/>
              <w:wordWrap/>
              <w:overflowPunct/>
              <w:topLinePunct w:val="0"/>
              <w:autoSpaceDE/>
              <w:autoSpaceDN/>
              <w:bidi w:val="0"/>
              <w:spacing w:line="360" w:lineRule="auto"/>
              <w:ind w:left="0" w:leftChars="0" w:firstLine="0" w:firstLineChars="0"/>
              <w:jc w:val="left"/>
              <w:textAlignment w:val="center"/>
              <w:rPr>
                <w:rFonts w:hint="eastAsia" w:ascii="宋体" w:hAnsi="宋体" w:eastAsia="宋体" w:cs="宋体"/>
                <w:w w:val="90"/>
                <w:sz w:val="22"/>
                <w:szCs w:val="22"/>
                <w:vertAlign w:val="baseline"/>
                <w:lang w:val="en-US" w:eastAsia="zh-CN"/>
              </w:rPr>
            </w:pPr>
            <w:r>
              <w:rPr>
                <w:rFonts w:hint="eastAsia" w:ascii="宋体" w:hAnsi="宋体" w:eastAsia="宋体" w:cs="宋体"/>
                <w:sz w:val="22"/>
                <w:szCs w:val="22"/>
              </w:rPr>
              <w:t>1．</w:t>
            </w:r>
            <w:r>
              <w:rPr>
                <w:rFonts w:hint="eastAsia" w:ascii="宋体" w:hAnsi="宋体" w:eastAsia="宋体" w:cs="宋体"/>
                <w:sz w:val="22"/>
                <w:szCs w:val="22"/>
                <w:lang w:val="en-US" w:eastAsia="zh-CN"/>
              </w:rPr>
              <w:t>一</w:t>
            </w:r>
            <w:r>
              <w:rPr>
                <w:rFonts w:hint="eastAsia" w:ascii="宋体" w:hAnsi="宋体" w:eastAsia="宋体" w:cs="宋体"/>
                <w:color w:val="auto"/>
                <w:sz w:val="22"/>
                <w:szCs w:val="22"/>
                <w:lang w:val="en-US" w:eastAsia="zh-CN"/>
              </w:rPr>
              <w:t>类种植土（</w:t>
            </w:r>
            <w:r>
              <w:rPr>
                <w:rFonts w:hint="eastAsia" w:ascii="宋体" w:hAnsi="宋体" w:eastAsia="宋体" w:cs="宋体"/>
                <w:i w:val="0"/>
                <w:iCs w:val="0"/>
                <w:caps w:val="0"/>
                <w:color w:val="auto"/>
                <w:spacing w:val="0"/>
                <w:sz w:val="22"/>
                <w:szCs w:val="22"/>
                <w:shd w:val="clear" w:fill="FFFFFF"/>
              </w:rPr>
              <w:t>土方回填、运输、修坡、道路通行、排水、包工期、包质量、包安全、包文明施工（裸露土方覆盖）、并由投标方自供设备（如现场车辆冲洗设备等）的形式承包施工</w:t>
            </w:r>
            <w:r>
              <w:rPr>
                <w:rFonts w:hint="eastAsia" w:ascii="宋体" w:hAnsi="宋体" w:eastAsia="宋体" w:cs="宋体"/>
                <w:i w:val="0"/>
                <w:iCs w:val="0"/>
                <w:caps w:val="0"/>
                <w:color w:val="auto"/>
                <w:spacing w:val="0"/>
                <w:sz w:val="22"/>
                <w:szCs w:val="22"/>
                <w:shd w:val="clear" w:fill="FFFFFF"/>
                <w:lang w:eastAsia="zh-CN"/>
              </w:rPr>
              <w:t>）</w:t>
            </w:r>
          </w:p>
        </w:tc>
        <w:tc>
          <w:tcPr>
            <w:tcW w:w="589" w:type="dxa"/>
            <w:vAlign w:val="center"/>
          </w:tcPr>
          <w:p w14:paraId="166B2502">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m³</w:t>
            </w:r>
          </w:p>
        </w:tc>
        <w:tc>
          <w:tcPr>
            <w:tcW w:w="936" w:type="dxa"/>
            <w:vAlign w:val="center"/>
          </w:tcPr>
          <w:p w14:paraId="103EF49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102164</w:t>
            </w:r>
          </w:p>
        </w:tc>
        <w:tc>
          <w:tcPr>
            <w:tcW w:w="1084" w:type="dxa"/>
            <w:vAlign w:val="center"/>
          </w:tcPr>
          <w:p w14:paraId="45F7981B">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2"/>
                <w:szCs w:val="22"/>
                <w:vertAlign w:val="baseline"/>
                <w:lang w:val="en-US" w:eastAsia="zh-CN"/>
              </w:rPr>
            </w:pPr>
          </w:p>
        </w:tc>
        <w:tc>
          <w:tcPr>
            <w:tcW w:w="1053" w:type="dxa"/>
            <w:vAlign w:val="center"/>
          </w:tcPr>
          <w:p w14:paraId="5ADD2A6B">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2"/>
                <w:szCs w:val="22"/>
                <w:vertAlign w:val="baseline"/>
                <w:lang w:val="en-US" w:eastAsia="zh-CN"/>
              </w:rPr>
            </w:pPr>
          </w:p>
        </w:tc>
        <w:tc>
          <w:tcPr>
            <w:tcW w:w="1217" w:type="dxa"/>
            <w:vAlign w:val="center"/>
          </w:tcPr>
          <w:p w14:paraId="56B36B5B">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2"/>
                <w:szCs w:val="22"/>
                <w:vertAlign w:val="baseline"/>
                <w:lang w:val="en-US" w:eastAsia="zh-CN"/>
              </w:rPr>
            </w:pPr>
          </w:p>
        </w:tc>
      </w:tr>
      <w:tr w14:paraId="4C0C5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562" w:type="dxa"/>
            <w:vAlign w:val="center"/>
          </w:tcPr>
          <w:p w14:paraId="71F30DD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577" w:type="dxa"/>
            <w:vAlign w:val="center"/>
          </w:tcPr>
          <w:p w14:paraId="51DEF084">
            <w:pPr>
              <w:keepNext w:val="0"/>
              <w:keepLines w:val="0"/>
              <w:pageBreakBefore w:val="0"/>
              <w:widowControl/>
              <w:suppressLineNumbers w:val="0"/>
              <w:kinsoku/>
              <w:wordWrap/>
              <w:overflowPunct/>
              <w:topLinePunct w:val="0"/>
              <w:autoSpaceDE/>
              <w:autoSpaceDN/>
              <w:bidi w:val="0"/>
              <w:spacing w:line="360" w:lineRule="auto"/>
              <w:jc w:val="left"/>
              <w:rPr>
                <w:rFonts w:hint="eastAsia" w:ascii="宋体" w:hAnsi="宋体" w:eastAsia="宋体" w:cs="宋体"/>
                <w:sz w:val="22"/>
                <w:szCs w:val="22"/>
              </w:rPr>
            </w:pPr>
            <w:r>
              <w:rPr>
                <w:rFonts w:hint="eastAsia" w:ascii="宋体" w:hAnsi="宋体" w:eastAsia="宋体" w:cs="宋体"/>
                <w:color w:val="000000"/>
                <w:kern w:val="0"/>
                <w:sz w:val="22"/>
                <w:szCs w:val="22"/>
                <w:lang w:val="en-US" w:eastAsia="zh-CN" w:bidi="ar"/>
              </w:rPr>
              <w:t>回填覆土</w:t>
            </w:r>
          </w:p>
          <w:p w14:paraId="6C6445C7">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i w:val="0"/>
                <w:iCs w:val="0"/>
                <w:color w:val="000000"/>
                <w:kern w:val="0"/>
                <w:sz w:val="22"/>
                <w:szCs w:val="22"/>
                <w:u w:val="none"/>
                <w:lang w:val="en-US" w:eastAsia="zh-CN" w:bidi="ar"/>
              </w:rPr>
            </w:pPr>
          </w:p>
        </w:tc>
        <w:tc>
          <w:tcPr>
            <w:tcW w:w="3036" w:type="dxa"/>
            <w:vAlign w:val="center"/>
          </w:tcPr>
          <w:p w14:paraId="1CA57FC1">
            <w:pPr>
              <w:keepNext w:val="0"/>
              <w:keepLines w:val="0"/>
              <w:pageBreakBefore w:val="0"/>
              <w:widowControl/>
              <w:suppressLineNumbers w:val="0"/>
              <w:kinsoku/>
              <w:wordWrap/>
              <w:overflowPunct/>
              <w:topLinePunct w:val="0"/>
              <w:autoSpaceDE/>
              <w:autoSpaceDN/>
              <w:bidi w:val="0"/>
              <w:spacing w:line="360" w:lineRule="auto"/>
              <w:jc w:val="left"/>
              <w:rPr>
                <w:rFonts w:hint="eastAsia" w:ascii="宋体" w:hAnsi="宋体" w:eastAsia="宋体" w:cs="宋体"/>
                <w:sz w:val="22"/>
                <w:szCs w:val="22"/>
                <w:lang w:val="en-US"/>
              </w:rPr>
            </w:pPr>
            <w:r>
              <w:rPr>
                <w:rFonts w:hint="eastAsia" w:ascii="宋体" w:hAnsi="宋体" w:eastAsia="宋体" w:cs="宋体"/>
                <w:sz w:val="22"/>
                <w:szCs w:val="22"/>
                <w:lang w:val="en-US" w:eastAsia="zh-CN"/>
              </w:rPr>
              <w:t>回填高度:600mm,符合</w:t>
            </w:r>
            <w:r>
              <w:rPr>
                <w:rFonts w:hint="eastAsia" w:ascii="宋体" w:hAnsi="宋体" w:eastAsia="宋体" w:cs="宋体"/>
                <w:color w:val="000000"/>
                <w:kern w:val="0"/>
                <w:sz w:val="22"/>
                <w:szCs w:val="22"/>
                <w:lang w:val="en-US" w:eastAsia="zh-CN" w:bidi="ar"/>
              </w:rPr>
              <w:t>石质山地造林技术规程》(DB34/T1695-2012）技术要求</w:t>
            </w:r>
          </w:p>
          <w:p w14:paraId="1F662565">
            <w:pPr>
              <w:keepNext w:val="0"/>
              <w:keepLines w:val="0"/>
              <w:pageBreakBefore w:val="0"/>
              <w:widowControl/>
              <w:numPr>
                <w:ilvl w:val="0"/>
                <w:numId w:val="0"/>
              </w:numPr>
              <w:suppressLineNumbers w:val="0"/>
              <w:kinsoku/>
              <w:wordWrap/>
              <w:overflowPunct/>
              <w:topLinePunct w:val="0"/>
              <w:autoSpaceDE/>
              <w:autoSpaceDN/>
              <w:bidi w:val="0"/>
              <w:spacing w:line="360" w:lineRule="auto"/>
              <w:ind w:left="0" w:leftChars="0" w:firstLine="0" w:firstLineChars="0"/>
              <w:jc w:val="left"/>
              <w:textAlignment w:val="center"/>
              <w:rPr>
                <w:rFonts w:hint="eastAsia" w:ascii="宋体" w:hAnsi="宋体" w:eastAsia="宋体" w:cs="宋体"/>
                <w:sz w:val="22"/>
                <w:szCs w:val="22"/>
                <w:lang w:val="en-US" w:eastAsia="zh-CN"/>
              </w:rPr>
            </w:pPr>
          </w:p>
        </w:tc>
        <w:tc>
          <w:tcPr>
            <w:tcW w:w="589" w:type="dxa"/>
            <w:shd w:val="clear" w:color="auto" w:fill="auto"/>
            <w:vAlign w:val="center"/>
          </w:tcPr>
          <w:p w14:paraId="09FAAA64">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m³</w:t>
            </w:r>
          </w:p>
        </w:tc>
        <w:tc>
          <w:tcPr>
            <w:tcW w:w="936" w:type="dxa"/>
            <w:vAlign w:val="center"/>
          </w:tcPr>
          <w:p w14:paraId="7F421CC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102164</w:t>
            </w:r>
          </w:p>
        </w:tc>
        <w:tc>
          <w:tcPr>
            <w:tcW w:w="1084" w:type="dxa"/>
            <w:vAlign w:val="center"/>
          </w:tcPr>
          <w:p w14:paraId="20F3F215">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2"/>
                <w:szCs w:val="22"/>
                <w:vertAlign w:val="baseline"/>
                <w:lang w:val="en-US" w:eastAsia="zh-CN"/>
              </w:rPr>
            </w:pPr>
          </w:p>
        </w:tc>
        <w:tc>
          <w:tcPr>
            <w:tcW w:w="1053" w:type="dxa"/>
            <w:vAlign w:val="center"/>
          </w:tcPr>
          <w:p w14:paraId="1BD9DCEC">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2"/>
                <w:szCs w:val="22"/>
                <w:vertAlign w:val="baseline"/>
                <w:lang w:val="en-US" w:eastAsia="zh-CN"/>
              </w:rPr>
            </w:pPr>
          </w:p>
        </w:tc>
        <w:tc>
          <w:tcPr>
            <w:tcW w:w="1217" w:type="dxa"/>
            <w:vAlign w:val="center"/>
          </w:tcPr>
          <w:p w14:paraId="32CD53C3">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2"/>
                <w:szCs w:val="22"/>
                <w:vertAlign w:val="baseline"/>
                <w:lang w:val="en-US" w:eastAsia="zh-CN"/>
              </w:rPr>
            </w:pPr>
          </w:p>
        </w:tc>
      </w:tr>
      <w:tr w14:paraId="0A969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562" w:type="dxa"/>
            <w:shd w:val="clear" w:color="auto" w:fill="auto"/>
            <w:vAlign w:val="center"/>
          </w:tcPr>
          <w:p w14:paraId="08C9B28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cstheme="minorEastAsia"/>
                <w:i w:val="0"/>
                <w:iCs w:val="0"/>
                <w:color w:val="000000"/>
                <w:kern w:val="0"/>
                <w:sz w:val="22"/>
                <w:szCs w:val="22"/>
                <w:u w:val="none"/>
                <w:lang w:val="en-US" w:eastAsia="zh-CN" w:bidi="ar"/>
              </w:rPr>
              <w:t>3</w:t>
            </w:r>
          </w:p>
        </w:tc>
        <w:tc>
          <w:tcPr>
            <w:tcW w:w="577" w:type="dxa"/>
            <w:shd w:val="clear" w:color="auto" w:fill="auto"/>
            <w:vAlign w:val="center"/>
          </w:tcPr>
          <w:p w14:paraId="1E746548">
            <w:pPr>
              <w:keepNext w:val="0"/>
              <w:keepLines w:val="0"/>
              <w:pageBreakBefore w:val="0"/>
              <w:widowControl/>
              <w:suppressLineNumbers w:val="0"/>
              <w:kinsoku/>
              <w:wordWrap/>
              <w:overflowPunct/>
              <w:topLinePunct w:val="0"/>
              <w:autoSpaceDE/>
              <w:autoSpaceDN/>
              <w:bidi w:val="0"/>
              <w:spacing w:line="360" w:lineRule="auto"/>
              <w:jc w:val="left"/>
              <w:rPr>
                <w:rFonts w:hint="eastAsia" w:ascii="宋体" w:hAnsi="宋体" w:eastAsia="宋体" w:cs="宋体"/>
                <w:sz w:val="22"/>
                <w:szCs w:val="22"/>
              </w:rPr>
            </w:pPr>
            <w:r>
              <w:rPr>
                <w:rFonts w:hint="eastAsia" w:ascii="宋体" w:hAnsi="宋体" w:eastAsia="宋体" w:cs="宋体"/>
                <w:color w:val="000000"/>
                <w:kern w:val="0"/>
                <w:sz w:val="22"/>
                <w:szCs w:val="22"/>
                <w:lang w:val="en-US" w:eastAsia="zh-CN" w:bidi="ar"/>
              </w:rPr>
              <w:t>场地平整</w:t>
            </w:r>
          </w:p>
          <w:p w14:paraId="1B49A5D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p>
        </w:tc>
        <w:tc>
          <w:tcPr>
            <w:tcW w:w="3036" w:type="dxa"/>
            <w:shd w:val="clear" w:color="auto" w:fill="auto"/>
            <w:vAlign w:val="center"/>
          </w:tcPr>
          <w:p w14:paraId="2AA907CC">
            <w:pPr>
              <w:keepNext w:val="0"/>
              <w:keepLines w:val="0"/>
              <w:pageBreakBefore w:val="0"/>
              <w:widowControl/>
              <w:numPr>
                <w:ilvl w:val="0"/>
                <w:numId w:val="0"/>
              </w:numPr>
              <w:suppressLineNumbers w:val="0"/>
              <w:kinsoku/>
              <w:wordWrap/>
              <w:overflowPunct/>
              <w:topLinePunct w:val="0"/>
              <w:autoSpaceDE/>
              <w:autoSpaceDN/>
              <w:bidi w:val="0"/>
              <w:spacing w:line="360" w:lineRule="auto"/>
              <w:ind w:left="0" w:leftChars="0" w:firstLine="0" w:firstLineChars="0"/>
              <w:jc w:val="left"/>
              <w:textAlignment w:val="center"/>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cstheme="minorEastAsia"/>
                <w:sz w:val="22"/>
                <w:szCs w:val="22"/>
                <w:lang w:val="en-US" w:eastAsia="zh-CN"/>
              </w:rPr>
              <w:t>达到要求的标高</w:t>
            </w:r>
          </w:p>
        </w:tc>
        <w:tc>
          <w:tcPr>
            <w:tcW w:w="589" w:type="dxa"/>
            <w:shd w:val="clear" w:color="auto" w:fill="auto"/>
            <w:vAlign w:val="center"/>
          </w:tcPr>
          <w:p w14:paraId="1351053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936" w:type="dxa"/>
            <w:shd w:val="clear" w:color="auto" w:fill="auto"/>
            <w:vAlign w:val="center"/>
          </w:tcPr>
          <w:p w14:paraId="359E871A">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cstheme="minorEastAsia"/>
                <w:i w:val="0"/>
                <w:iCs w:val="0"/>
                <w:color w:val="000000"/>
                <w:kern w:val="0"/>
                <w:sz w:val="22"/>
                <w:szCs w:val="22"/>
                <w:u w:val="none"/>
                <w:lang w:val="en-US" w:eastAsia="zh-CN" w:bidi="ar"/>
              </w:rPr>
              <w:t>102164</w:t>
            </w:r>
          </w:p>
        </w:tc>
        <w:tc>
          <w:tcPr>
            <w:tcW w:w="1084" w:type="dxa"/>
            <w:shd w:val="clear" w:color="auto" w:fill="auto"/>
            <w:vAlign w:val="center"/>
          </w:tcPr>
          <w:p w14:paraId="56C7BD5F">
            <w:pPr>
              <w:keepNext w:val="0"/>
              <w:keepLines w:val="0"/>
              <w:pageBreakBefore w:val="0"/>
              <w:kinsoku/>
              <w:wordWrap/>
              <w:overflowPunct/>
              <w:topLinePunct w:val="0"/>
              <w:autoSpaceDE/>
              <w:autoSpaceDN/>
              <w:bidi w:val="0"/>
              <w:spacing w:line="360" w:lineRule="auto"/>
              <w:jc w:val="center"/>
              <w:rPr>
                <w:rFonts w:hint="eastAsia" w:asciiTheme="minorEastAsia" w:hAnsiTheme="minorEastAsia" w:eastAsiaTheme="minorEastAsia" w:cstheme="minorEastAsia"/>
                <w:w w:val="90"/>
                <w:kern w:val="2"/>
                <w:sz w:val="22"/>
                <w:szCs w:val="22"/>
                <w:vertAlign w:val="baseline"/>
                <w:lang w:val="en-US" w:eastAsia="zh-CN" w:bidi="ar-SA"/>
              </w:rPr>
            </w:pPr>
          </w:p>
        </w:tc>
        <w:tc>
          <w:tcPr>
            <w:tcW w:w="1053" w:type="dxa"/>
            <w:shd w:val="clear" w:color="auto" w:fill="auto"/>
            <w:vAlign w:val="center"/>
          </w:tcPr>
          <w:p w14:paraId="4A79FADA">
            <w:pPr>
              <w:keepNext w:val="0"/>
              <w:keepLines w:val="0"/>
              <w:pageBreakBefore w:val="0"/>
              <w:kinsoku/>
              <w:wordWrap/>
              <w:overflowPunct/>
              <w:topLinePunct w:val="0"/>
              <w:autoSpaceDE/>
              <w:autoSpaceDN/>
              <w:bidi w:val="0"/>
              <w:spacing w:line="360" w:lineRule="auto"/>
              <w:jc w:val="center"/>
              <w:rPr>
                <w:rFonts w:hint="eastAsia" w:asciiTheme="minorEastAsia" w:hAnsiTheme="minorEastAsia" w:eastAsiaTheme="minorEastAsia" w:cstheme="minorEastAsia"/>
                <w:w w:val="90"/>
                <w:kern w:val="2"/>
                <w:sz w:val="22"/>
                <w:szCs w:val="22"/>
                <w:vertAlign w:val="baseline"/>
                <w:lang w:val="en-US" w:eastAsia="zh-CN" w:bidi="ar-SA"/>
              </w:rPr>
            </w:pPr>
          </w:p>
        </w:tc>
        <w:tc>
          <w:tcPr>
            <w:tcW w:w="1217" w:type="dxa"/>
            <w:shd w:val="clear" w:color="auto" w:fill="auto"/>
            <w:vAlign w:val="center"/>
          </w:tcPr>
          <w:p w14:paraId="791867F1">
            <w:pPr>
              <w:keepNext w:val="0"/>
              <w:keepLines w:val="0"/>
              <w:pageBreakBefore w:val="0"/>
              <w:kinsoku/>
              <w:wordWrap/>
              <w:overflowPunct/>
              <w:topLinePunct w:val="0"/>
              <w:autoSpaceDE/>
              <w:autoSpaceDN/>
              <w:bidi w:val="0"/>
              <w:spacing w:line="360" w:lineRule="auto"/>
              <w:jc w:val="center"/>
              <w:rPr>
                <w:rFonts w:hint="eastAsia" w:asciiTheme="minorEastAsia" w:hAnsiTheme="minorEastAsia" w:eastAsiaTheme="minorEastAsia" w:cstheme="minorEastAsia"/>
                <w:w w:val="90"/>
                <w:kern w:val="2"/>
                <w:sz w:val="22"/>
                <w:szCs w:val="22"/>
                <w:vertAlign w:val="baseline"/>
                <w:lang w:val="en-US" w:eastAsia="zh-CN" w:bidi="ar-SA"/>
              </w:rPr>
            </w:pPr>
          </w:p>
        </w:tc>
      </w:tr>
    </w:tbl>
    <w:p w14:paraId="62795B7E">
      <w:pPr>
        <w:pStyle w:val="2"/>
        <w:keepNext w:val="0"/>
        <w:keepLines w:val="0"/>
        <w:pageBreakBefore w:val="0"/>
        <w:kinsoku/>
        <w:wordWrap/>
        <w:overflowPunct/>
        <w:topLinePunct w:val="0"/>
        <w:autoSpaceDE/>
        <w:autoSpaceDN/>
        <w:bidi w:val="0"/>
        <w:spacing w:before="0" w:after="0" w:line="240" w:lineRule="auto"/>
        <w:jc w:val="both"/>
        <w:rPr>
          <w:rFonts w:hint="eastAsia" w:ascii="宋体" w:hAnsi="宋体" w:eastAsia="宋体" w:cs="宋体"/>
          <w:sz w:val="24"/>
          <w:szCs w:val="24"/>
          <w:highlight w:val="none"/>
          <w:lang w:val="en-US" w:eastAsia="zh-CN"/>
        </w:rPr>
      </w:pPr>
    </w:p>
    <w:p w14:paraId="0C74EE6E">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暂定合同含税总价为：</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元，</w:t>
      </w:r>
      <w:r>
        <w:rPr>
          <w:rFonts w:hint="eastAsia" w:ascii="宋体" w:hAnsi="宋体" w:eastAsia="宋体" w:cs="宋体"/>
          <w:color w:val="000000"/>
          <w:sz w:val="24"/>
          <w:szCs w:val="24"/>
          <w:highlight w:val="none"/>
          <w:lang w:val="en-US" w:eastAsia="zh-CN"/>
        </w:rPr>
        <w:t>大写：</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lang w:val="en-US" w:eastAsia="zh-CN"/>
        </w:rPr>
        <w:t>（含</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lang w:val="en-US" w:eastAsia="zh-CN"/>
        </w:rPr>
        <w:t>％税金）。在合同承包范围内，乙方应完成本合同规定的全部工作内容，认真履行本合同。</w:t>
      </w:r>
    </w:p>
    <w:p w14:paraId="77BF4C94">
      <w:pPr>
        <w:keepNext w:val="0"/>
        <w:keepLines w:val="0"/>
        <w:pageBreakBefore w:val="0"/>
        <w:kinsoku/>
        <w:wordWrap/>
        <w:overflowPunct/>
        <w:topLinePunct w:val="0"/>
        <w:autoSpaceDE/>
        <w:autoSpaceDN/>
        <w:bidi w:val="0"/>
        <w:adjustRightInd w:val="0"/>
        <w:snapToGrid w:val="0"/>
        <w:spacing w:line="360" w:lineRule="auto"/>
        <w:ind w:firstLine="482" w:firstLineChars="200"/>
        <w:jc w:val="left"/>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四、结算与支付</w:t>
      </w:r>
    </w:p>
    <w:p w14:paraId="1EBD77F1">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lang w:val="en-US" w:eastAsia="zh-CN"/>
        </w:rPr>
        <w:t>4.1合同最终结算价：</w:t>
      </w:r>
      <w:r>
        <w:rPr>
          <w:rFonts w:hint="eastAsia" w:ascii="宋体" w:hAnsi="宋体" w:eastAsia="宋体" w:cs="宋体"/>
          <w:color w:val="000000"/>
          <w:sz w:val="24"/>
          <w:szCs w:val="24"/>
          <w:highlight w:val="none"/>
          <w:u w:val="single"/>
          <w:lang w:val="en-US" w:eastAsia="zh-CN"/>
        </w:rPr>
        <w:t>以实际施工并验收合格的工程量按投标综合单价进行结算。</w:t>
      </w:r>
    </w:p>
    <w:p w14:paraId="294D571F">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合同总价包括但不限于：按照甲方要求及甲方提供的图纸保质保量完成原材验收、测量放线、机械进出场、施工、运输、检测、验收直至移交的所有相关工作内容，及作业环境保洁、有关施工技术措施、与现场内外各方面的协调等工程施工过程中所需发生的人工、机械、材料（主材及辅材）、措施费（含脚手架）、管理费、利润、税金等一切费用。税金计取必须是增值专用税。</w:t>
      </w:r>
    </w:p>
    <w:p w14:paraId="34E664E6">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乙方每月25日前应按甲方规定的月进度表格上报每月进度，经甲方审核确认。若所报工程量的质量达不到验收规范要求，甲方有权暂缓支付该部分工程款，待乙方整改达到验收规范要求并经验收合格后，在下一期进度款支付时一并支付。</w:t>
      </w:r>
    </w:p>
    <w:p w14:paraId="003645F5">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lang w:val="en-US" w:eastAsia="zh-CN"/>
        </w:rPr>
        <w:t>4.2支付：</w:t>
      </w:r>
      <w:r>
        <w:rPr>
          <w:rFonts w:hint="eastAsia" w:ascii="宋体" w:hAnsi="宋体" w:eastAsia="宋体" w:cs="宋体"/>
          <w:color w:val="000000"/>
          <w:sz w:val="24"/>
          <w:szCs w:val="24"/>
          <w:highlight w:val="none"/>
          <w:u w:val="single"/>
          <w:lang w:val="en-US" w:eastAsia="zh-CN"/>
        </w:rPr>
        <w:t>本工程无预付款，工程全部施工完成并通过验收后，支付至合同结算总价的70%；待甲方整个项目完工并经竣工验收合格后付至合同结算总价的100%</w:t>
      </w:r>
      <w:r>
        <w:rPr>
          <w:rFonts w:hint="eastAsia" w:ascii="宋体" w:hAnsi="宋体" w:eastAsia="宋体" w:cs="宋体"/>
          <w:color w:val="000000"/>
          <w:sz w:val="24"/>
          <w:szCs w:val="24"/>
          <w:highlight w:val="none"/>
          <w:u w:val="none"/>
          <w:lang w:val="en-US" w:eastAsia="zh-CN"/>
        </w:rPr>
        <w:t>。</w:t>
      </w:r>
    </w:p>
    <w:p w14:paraId="38DECFE7">
      <w:pPr>
        <w:keepNext w:val="0"/>
        <w:keepLines w:val="0"/>
        <w:pageBreakBefore w:val="0"/>
        <w:kinsoku/>
        <w:wordWrap/>
        <w:overflowPunct/>
        <w:topLinePunct w:val="0"/>
        <w:autoSpaceDE/>
        <w:autoSpaceDN/>
        <w:bidi w:val="0"/>
        <w:adjustRightInd w:val="0"/>
        <w:snapToGrid w:val="0"/>
        <w:spacing w:line="360" w:lineRule="auto"/>
        <w:ind w:firstLine="482" w:firstLineChars="200"/>
        <w:jc w:val="left"/>
        <w:rPr>
          <w:rFonts w:hint="eastAsia" w:ascii="宋体" w:hAnsi="宋体" w:eastAsia="宋体" w:cs="宋体"/>
          <w:snapToGrid w:val="0"/>
          <w:sz w:val="24"/>
          <w:szCs w:val="24"/>
          <w:highlight w:val="none"/>
        </w:rPr>
      </w:pPr>
      <w:r>
        <w:rPr>
          <w:rFonts w:hint="eastAsia" w:ascii="宋体" w:hAnsi="宋体" w:eastAsia="宋体" w:cs="宋体"/>
          <w:b/>
          <w:snapToGrid w:val="0"/>
          <w:sz w:val="24"/>
          <w:szCs w:val="24"/>
          <w:highlight w:val="none"/>
        </w:rPr>
        <w:t>五</w:t>
      </w:r>
      <w:r>
        <w:rPr>
          <w:rFonts w:hint="eastAsia" w:ascii="宋体" w:hAnsi="宋体" w:eastAsia="宋体" w:cs="宋体"/>
          <w:b/>
          <w:snapToGrid w:val="0"/>
          <w:sz w:val="24"/>
          <w:szCs w:val="24"/>
          <w:highlight w:val="none"/>
          <w:lang w:eastAsia="zh-CN"/>
        </w:rPr>
        <w:t>、</w:t>
      </w:r>
      <w:r>
        <w:rPr>
          <w:rFonts w:hint="eastAsia" w:ascii="宋体" w:hAnsi="宋体" w:eastAsia="宋体" w:cs="宋体"/>
          <w:b/>
          <w:sz w:val="24"/>
          <w:szCs w:val="24"/>
          <w:highlight w:val="none"/>
        </w:rPr>
        <w:t>工期及开工日期</w:t>
      </w:r>
    </w:p>
    <w:p w14:paraId="0126AEF7">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kern w:val="0"/>
          <w:sz w:val="24"/>
          <w:szCs w:val="24"/>
          <w:highlight w:val="none"/>
          <w:lang w:val="en-US" w:eastAsia="zh-CN" w:bidi="ar"/>
        </w:rPr>
        <w:t>5.1</w:t>
      </w:r>
      <w:r>
        <w:rPr>
          <w:rFonts w:hint="eastAsia" w:ascii="宋体" w:hAnsi="宋体" w:eastAsia="宋体" w:cs="宋体"/>
          <w:color w:val="000000"/>
          <w:sz w:val="24"/>
          <w:szCs w:val="24"/>
          <w:highlight w:val="none"/>
          <w:lang w:val="en-US" w:eastAsia="zh-CN"/>
        </w:rPr>
        <w:t>工程总工期： 30  天。本项目沥青道路工程可分块分段实施，乙方根据甲方提供的工作面面积合理组织沥青道路施工，施工中因业主或甲方要求缩短工期，在技术条件允许情况下乙方需无理由执行且不增加任何费用。</w:t>
      </w:r>
      <w:r>
        <w:rPr>
          <w:rFonts w:hint="eastAsia" w:ascii="宋体" w:hAnsi="宋体" w:eastAsia="宋体" w:cs="宋体"/>
          <w:color w:val="000000"/>
          <w:kern w:val="2"/>
          <w:sz w:val="24"/>
          <w:szCs w:val="24"/>
          <w:highlight w:val="none"/>
          <w:lang w:val="en-US" w:eastAsia="zh-CN" w:bidi="ar-SA"/>
        </w:rPr>
        <w:t>若乙方未能按本合同约定完成施工，每逾期一日，乙方应向甲方支付万分之五的违约金。经整改后仍不能达到要求的，甲方有权解除合同，乙方向甲方赔偿因工期延误造成的所有损失。</w:t>
      </w:r>
    </w:p>
    <w:p w14:paraId="7F8D8DEC">
      <w:pPr>
        <w:keepNext w:val="0"/>
        <w:keepLines w:val="0"/>
        <w:pageBreakBefore w:val="0"/>
        <w:kinsoku/>
        <w:wordWrap/>
        <w:overflowPunct/>
        <w:topLinePunct w:val="0"/>
        <w:autoSpaceDE/>
        <w:autoSpaceDN/>
        <w:bidi w:val="0"/>
        <w:adjustRightInd w:val="0"/>
        <w:snapToGrid w:val="0"/>
        <w:spacing w:line="360" w:lineRule="auto"/>
        <w:ind w:firstLine="482" w:firstLineChars="200"/>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lang w:val="en-US" w:eastAsia="zh-CN"/>
        </w:rPr>
        <w:t>六</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现场管理</w:t>
      </w:r>
    </w:p>
    <w:p w14:paraId="1423DD43">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6.1乙方需按甲方的要求编制工程施工方案，并及时报送与本工程有关的各种报表等资料。</w:t>
      </w:r>
    </w:p>
    <w:p w14:paraId="49FDD012">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6.2乙方需服从甲方现场人员的统一指挥，按设计施工图和规范要求组织施工，确保工程质量和施工安全。</w:t>
      </w:r>
    </w:p>
    <w:p w14:paraId="22484DD4">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6.3乙方保证施工现场符合文明施工的要求。</w:t>
      </w:r>
    </w:p>
    <w:p w14:paraId="6623CFC2">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6.4乙方需做好日常施工资料的收集整理工作，保证交工资料的完善准确。</w:t>
      </w:r>
    </w:p>
    <w:p w14:paraId="7FBBE934">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6.5乙方应熟悉国家及安徽省、淮南市沥青道路施工的相关规范和规定，充分了解施工现场内供水、供电、运输等条件，不得以不完全了解现场状况为由，而向甲方提出额外的费用补偿或延长施工期限。</w:t>
      </w:r>
    </w:p>
    <w:p w14:paraId="724C6790">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6.6乙方在签订合同施工全过程，甲方有权对乙方的人力、机械、材料进行不定时监督检查，并对到场材料进行抽样送检，因乙方原因造成质量问题的，由乙方自行承担结果及所发生的费用。</w:t>
      </w:r>
    </w:p>
    <w:p w14:paraId="115EC4D1">
      <w:pPr>
        <w:keepNext w:val="0"/>
        <w:keepLines w:val="0"/>
        <w:pageBreakBefore w:val="0"/>
        <w:kinsoku/>
        <w:wordWrap/>
        <w:overflowPunct/>
        <w:topLinePunct w:val="0"/>
        <w:autoSpaceDE/>
        <w:autoSpaceDN/>
        <w:bidi w:val="0"/>
        <w:adjustRightInd w:val="0"/>
        <w:snapToGrid w:val="0"/>
        <w:spacing w:line="360" w:lineRule="auto"/>
        <w:ind w:firstLine="482" w:firstLineChars="200"/>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lang w:val="en-US" w:eastAsia="zh-CN"/>
        </w:rPr>
        <w:t>七</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管理目标与要求：</w:t>
      </w:r>
    </w:p>
    <w:p w14:paraId="4398FB41">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7.1工程质量</w:t>
      </w:r>
    </w:p>
    <w:p w14:paraId="560BF853">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详见项目特征描述，若质量不符合标准</w:t>
      </w:r>
      <w:r>
        <w:rPr>
          <w:rFonts w:hint="eastAsia" w:ascii="宋体" w:hAnsi="宋体" w:eastAsia="宋体" w:cs="宋体"/>
          <w:color w:val="FF0000"/>
          <w:sz w:val="24"/>
          <w:szCs w:val="24"/>
          <w:highlight w:val="none"/>
          <w:lang w:val="en-US" w:eastAsia="zh-CN"/>
        </w:rPr>
        <w:t>，</w:t>
      </w:r>
      <w:r>
        <w:rPr>
          <w:rFonts w:hint="eastAsia" w:ascii="宋体" w:hAnsi="宋体" w:eastAsia="宋体" w:cs="宋体"/>
          <w:color w:val="000000"/>
          <w:sz w:val="24"/>
          <w:szCs w:val="24"/>
          <w:highlight w:val="none"/>
          <w:lang w:val="en-US" w:eastAsia="zh-CN"/>
        </w:rPr>
        <w:t>由乙方进行返工，直至达到要求为准，返工所发生的费用和工期损失及由此引起甲方的损失，均由乙方承担。</w:t>
      </w:r>
    </w:p>
    <w:p w14:paraId="0483A805">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7.2安全文明施工要求</w:t>
      </w:r>
    </w:p>
    <w:p w14:paraId="028DA47D">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乙方应保证其在施工中符合国家《安全生产法》及与安全相关的法律法规，一旦发生的安全事故，应立即向我公司报告，我公司亦有权对乙方的安全隐患提出整改意见；乙方未及时整改的，我公司有权自行或委托他人整改，发生的费用由乙方承担。</w:t>
      </w:r>
    </w:p>
    <w:p w14:paraId="1119EF4E">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乙方按当地有关的安全规定及业主、监理、甲方的要求，采取严格的安全保护措施，做好安全防范工作。若发生安全事故，乙方承担主要安全责任和因此发生的经济损失（包括赔偿金及罚款）的95%的损失，甲方承担连带责任，并承担5%的损失并积极协调处理事故。</w:t>
      </w:r>
    </w:p>
    <w:p w14:paraId="5AA7D631">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（3）乙方必须服从甲方现场管理，严格执行各项规章制度。进入工地必须戴好安全帽，特殊工种执证操作，认真严格执行国家及市政府、业主与甲方对安全生产、文明施工的规定制度和要求。</w:t>
      </w:r>
    </w:p>
    <w:p w14:paraId="6AF26869">
      <w:pPr>
        <w:keepNext w:val="0"/>
        <w:keepLines w:val="0"/>
        <w:pageBreakBefore w:val="0"/>
        <w:kinsoku/>
        <w:wordWrap/>
        <w:overflowPunct/>
        <w:topLinePunct w:val="0"/>
        <w:autoSpaceDE/>
        <w:autoSpaceDN/>
        <w:bidi w:val="0"/>
        <w:adjustRightInd w:val="0"/>
        <w:snapToGrid w:val="0"/>
        <w:spacing w:line="360" w:lineRule="auto"/>
        <w:ind w:firstLine="482" w:firstLineChars="200"/>
        <w:jc w:val="left"/>
        <w:rPr>
          <w:rFonts w:hint="eastAsia" w:ascii="宋体" w:hAnsi="宋体" w:eastAsia="宋体" w:cs="宋体"/>
          <w:sz w:val="24"/>
          <w:szCs w:val="24"/>
          <w:highlight w:val="none"/>
        </w:rPr>
      </w:pPr>
      <w:r>
        <w:rPr>
          <w:rFonts w:hint="eastAsia" w:ascii="宋体" w:hAnsi="宋体" w:eastAsia="宋体" w:cs="宋体"/>
          <w:b/>
          <w:sz w:val="24"/>
          <w:szCs w:val="24"/>
          <w:highlight w:val="none"/>
          <w:lang w:val="en-US" w:eastAsia="zh-CN"/>
        </w:rPr>
        <w:t>八</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竣工验收和保修</w:t>
      </w:r>
    </w:p>
    <w:p w14:paraId="4E199A58">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8.1、竣工后的工程验收要按国家现行规范的质量标准及设计图为依据进行验收。</w:t>
      </w:r>
    </w:p>
    <w:p w14:paraId="371BDF38">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8.2、在乙方施工过程中，应积极配合甲方做好各工序验收及资料整理、图纸变更、增减项目签证资料移交甲方等事宜。</w:t>
      </w:r>
    </w:p>
    <w:p w14:paraId="5FABEACE">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8.3、工程完工后，乙方及时清理范围内的建筑垃圾是卫生达到要求，向甲方提交竣工验收报告，甲方应在七天内组织有关部门进行验收。</w:t>
      </w:r>
    </w:p>
    <w:p w14:paraId="2AAF9E7C">
      <w:pPr>
        <w:keepNext w:val="0"/>
        <w:keepLines w:val="0"/>
        <w:pageBreakBefore w:val="0"/>
        <w:kinsoku/>
        <w:wordWrap/>
        <w:overflowPunct/>
        <w:topLinePunct w:val="0"/>
        <w:autoSpaceDE/>
        <w:autoSpaceDN/>
        <w:bidi w:val="0"/>
        <w:adjustRightInd w:val="0"/>
        <w:snapToGrid w:val="0"/>
        <w:spacing w:line="360" w:lineRule="auto"/>
        <w:ind w:firstLine="482" w:firstLineChars="200"/>
        <w:jc w:val="left"/>
        <w:rPr>
          <w:rFonts w:hint="eastAsia" w:ascii="宋体" w:hAnsi="宋体" w:eastAsia="宋体" w:cs="宋体"/>
          <w:sz w:val="24"/>
          <w:szCs w:val="24"/>
          <w:highlight w:val="none"/>
        </w:rPr>
      </w:pPr>
      <w:r>
        <w:rPr>
          <w:rFonts w:hint="eastAsia" w:ascii="宋体" w:hAnsi="宋体" w:eastAsia="宋体" w:cs="宋体"/>
          <w:b/>
          <w:sz w:val="24"/>
          <w:szCs w:val="24"/>
          <w:highlight w:val="none"/>
        </w:rPr>
        <w:t>第</w:t>
      </w:r>
      <w:r>
        <w:rPr>
          <w:rFonts w:hint="eastAsia" w:ascii="宋体" w:hAnsi="宋体" w:eastAsia="宋体" w:cs="宋体"/>
          <w:b/>
          <w:sz w:val="24"/>
          <w:szCs w:val="24"/>
          <w:highlight w:val="none"/>
          <w:lang w:val="en-US" w:eastAsia="zh-CN"/>
        </w:rPr>
        <w:t>九</w:t>
      </w:r>
      <w:r>
        <w:rPr>
          <w:rFonts w:hint="eastAsia" w:ascii="宋体" w:hAnsi="宋体" w:eastAsia="宋体" w:cs="宋体"/>
          <w:b/>
          <w:sz w:val="24"/>
          <w:szCs w:val="24"/>
          <w:highlight w:val="none"/>
        </w:rPr>
        <w:t>条  其他</w:t>
      </w:r>
    </w:p>
    <w:p w14:paraId="0A0AB2E8">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b/>
          <w:sz w:val="24"/>
          <w:szCs w:val="24"/>
          <w:highlight w:val="none"/>
        </w:rPr>
      </w:pPr>
      <w:r>
        <w:rPr>
          <w:rFonts w:hint="eastAsia" w:ascii="宋体" w:hAnsi="宋体" w:eastAsia="宋体" w:cs="宋体"/>
          <w:color w:val="000000"/>
          <w:sz w:val="24"/>
          <w:szCs w:val="24"/>
          <w:highlight w:val="none"/>
          <w:lang w:val="en-US" w:eastAsia="zh-CN"/>
        </w:rPr>
        <w:t>9.1、本合同未尽事宜，甲乙双方通过协商解决或签署补充协议，本内部分包工程合同书与原合同同具法律效力。本合同一式六份，甲方执四份、乙方执两份。本合同自双方法定代表人或授权代表签字并加盖公章之日起生效。</w:t>
      </w:r>
    </w:p>
    <w:p w14:paraId="66B04A1D">
      <w:pPr>
        <w:keepNext w:val="0"/>
        <w:keepLines w:val="0"/>
        <w:pageBreakBefore w:val="0"/>
        <w:widowControl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甲方：　　　　　　　　　　　　　      乙方：</w:t>
      </w:r>
    </w:p>
    <w:p w14:paraId="1425C729">
      <w:pPr>
        <w:keepNext w:val="0"/>
        <w:keepLines w:val="0"/>
        <w:pageBreakBefore w:val="0"/>
        <w:widowControl w:val="0"/>
        <w:kinsoku/>
        <w:wordWrap/>
        <w:overflowPunct/>
        <w:topLinePunct w:val="0"/>
        <w:autoSpaceDE/>
        <w:autoSpaceDN/>
        <w:bidi w:val="0"/>
        <w:adjustRightInd/>
        <w:snapToGrid/>
        <w:spacing w:line="480" w:lineRule="auto"/>
        <w:ind w:firstLine="361" w:firstLineChars="15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法人代表：                             法人代表：</w:t>
      </w:r>
    </w:p>
    <w:p w14:paraId="21ED850E">
      <w:pPr>
        <w:keepNext w:val="0"/>
        <w:keepLines w:val="0"/>
        <w:pageBreakBefore w:val="0"/>
        <w:widowControl w:val="0"/>
        <w:kinsoku/>
        <w:wordWrap/>
        <w:overflowPunct/>
        <w:topLinePunct w:val="0"/>
        <w:autoSpaceDE/>
        <w:autoSpaceDN/>
        <w:bidi w:val="0"/>
        <w:adjustRightInd/>
        <w:snapToGrid/>
        <w:spacing w:line="480" w:lineRule="auto"/>
        <w:ind w:firstLine="361" w:firstLineChars="15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sz w:val="24"/>
          <w:szCs w:val="24"/>
          <w:highlight w:val="none"/>
        </w:rPr>
        <w:t>委托代理人：                           委托代理人：</w:t>
      </w:r>
    </w:p>
    <w:p w14:paraId="625CB9BB">
      <w:pPr>
        <w:tabs>
          <w:tab w:val="left" w:pos="4679"/>
        </w:tabs>
        <w:bidi w:val="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199DE"/>
    <w:multiLevelType w:val="singleLevel"/>
    <w:tmpl w:val="897199DE"/>
    <w:lvl w:ilvl="0" w:tentative="0">
      <w:start w:val="3"/>
      <w:numFmt w:val="chineseCounting"/>
      <w:suff w:val="nothing"/>
      <w:lvlText w:val="%1、"/>
      <w:lvlJc w:val="left"/>
      <w:rPr>
        <w:rFonts w:hint="eastAsia"/>
      </w:rPr>
    </w:lvl>
  </w:abstractNum>
  <w:abstractNum w:abstractNumId="1">
    <w:nsid w:val="E98E5F10"/>
    <w:multiLevelType w:val="singleLevel"/>
    <w:tmpl w:val="E98E5F10"/>
    <w:lvl w:ilvl="0" w:tentative="0">
      <w:start w:val="3"/>
      <w:numFmt w:val="decimal"/>
      <w:suff w:val="nothing"/>
      <w:lvlText w:val="%1、"/>
      <w:lvlJc w:val="left"/>
    </w:lvl>
  </w:abstractNum>
  <w:abstractNum w:abstractNumId="2">
    <w:nsid w:val="2A7C9FB5"/>
    <w:multiLevelType w:val="singleLevel"/>
    <w:tmpl w:val="2A7C9FB5"/>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1E73DA"/>
    <w:rsid w:val="128540CB"/>
    <w:rsid w:val="14DA41AD"/>
    <w:rsid w:val="1C835C85"/>
    <w:rsid w:val="25357548"/>
    <w:rsid w:val="276671E5"/>
    <w:rsid w:val="2E01585D"/>
    <w:rsid w:val="30CC6C0A"/>
    <w:rsid w:val="348B1F12"/>
    <w:rsid w:val="37C80CD2"/>
    <w:rsid w:val="38FE1FE8"/>
    <w:rsid w:val="3E1E73DA"/>
    <w:rsid w:val="3E97232D"/>
    <w:rsid w:val="3F03265A"/>
    <w:rsid w:val="40C85F0D"/>
    <w:rsid w:val="512D19CF"/>
    <w:rsid w:val="6DB57EF7"/>
    <w:rsid w:val="6ED97968"/>
    <w:rsid w:val="78F07D22"/>
    <w:rsid w:val="793D66F7"/>
    <w:rsid w:val="7E174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样式3"/>
    <w:basedOn w:val="1"/>
    <w:autoRedefine/>
    <w:qFormat/>
    <w:uiPriority w:val="0"/>
    <w:pPr>
      <w:tabs>
        <w:tab w:val="left" w:pos="210"/>
        <w:tab w:val="left" w:pos="315"/>
      </w:tabs>
      <w:spacing w:before="120" w:after="120"/>
    </w:pPr>
    <w:rPr>
      <w:szCs w:val="22"/>
      <w:lang w:eastAsia="en-US"/>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7071</Words>
  <Characters>7402</Characters>
  <Lines>0</Lines>
  <Paragraphs>0</Paragraphs>
  <TotalTime>15</TotalTime>
  <ScaleCrop>false</ScaleCrop>
  <LinksUpToDate>false</LinksUpToDate>
  <CharactersWithSpaces>7654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2025-07-06T09:53:00Z</dcterms:created>
  <dc:creator>彭志辉</dc:creator>
  <cp:lastModifiedBy>Smile___谈谈,</cp:lastModifiedBy>
  <cp:lastPrinted>2025-07-07T07:54:00Z</cp:lastPrinted>
  <dcterms:modified xsi:type="dcterms:W3CDTF">2025-10-14T06:38:30Z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982C1D9D72744DBC82C5E4885389958B_11</vt:lpwstr>
  </property>
  <property fmtid="{D5CDD505-2E9C-101B-9397-08002B2CF9AE}" pid="4" name="KSOTemplateDocerSaveRecord">
    <vt:lpwstr>eyJoZGlkIjoiYTY3YWZmZTc5NzU4YmEyMTViMGQzMmY4MDdmMDJmZTMiLCJ1c2VySWQiOiIyMjgxNjEyMDgifQ==</vt:lpwstr>
  </property>
</Properties>
</file>