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5F3A7">
      <w:pPr>
        <w:jc w:val="center"/>
        <w:textAlignment w:val="baseline"/>
        <w:rPr>
          <w:sz w:val="48"/>
          <w:szCs w:val="48"/>
        </w:rPr>
      </w:pPr>
      <w:r>
        <w:rPr>
          <w:rFonts w:hint="eastAsia"/>
          <w:sz w:val="48"/>
          <w:szCs w:val="48"/>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煤矸石烧结空心砖（</w:t>
      </w:r>
      <w:r>
        <w:rPr>
          <w:rFonts w:hint="eastAsia" w:ascii="仿宋" w:hAnsi="仿宋" w:eastAsia="仿宋" w:cs="仿宋"/>
          <w:color w:val="000000"/>
          <w:sz w:val="28"/>
          <w:szCs w:val="28"/>
          <w:lang w:val="en-US" w:eastAsia="zh-CN"/>
        </w:rPr>
        <w:t>240*200*115，ＭＵ3.5</w:t>
      </w:r>
      <w:r>
        <w:rPr>
          <w:rFonts w:hint="eastAsia" w:ascii="仿宋" w:hAnsi="仿宋" w:eastAsia="仿宋" w:cs="仿宋"/>
          <w:color w:val="000000"/>
          <w:sz w:val="28"/>
          <w:szCs w:val="28"/>
          <w:lang w:eastAsia="zh-CN"/>
        </w:rPr>
        <w:t>）；煤矸石烧结多孔砖（</w:t>
      </w:r>
      <w:r>
        <w:rPr>
          <w:rFonts w:hint="eastAsia" w:ascii="仿宋" w:hAnsi="仿宋" w:eastAsia="仿宋" w:cs="仿宋"/>
          <w:color w:val="000000"/>
          <w:sz w:val="28"/>
          <w:szCs w:val="28"/>
          <w:lang w:val="en-US" w:eastAsia="zh-CN"/>
        </w:rPr>
        <w:t>200*115*95，MU10</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XWY-2024-1008001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煤矸石烧结空心砖、煤矸石烧结多孔砖</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田家庵区泰康街与淮河大道南段交汇西北</w:t>
      </w:r>
    </w:p>
    <w:tbl>
      <w:tblPr>
        <w:tblStyle w:val="9"/>
        <w:tblpPr w:leftFromText="180" w:rightFromText="180" w:vertAnchor="text" w:horzAnchor="page" w:tblpX="1123" w:tblpY="500"/>
        <w:tblOverlap w:val="never"/>
        <w:tblW w:w="10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518"/>
        <w:gridCol w:w="1620"/>
        <w:gridCol w:w="765"/>
        <w:gridCol w:w="1530"/>
        <w:gridCol w:w="2644"/>
        <w:gridCol w:w="1518"/>
        <w:gridCol w:w="639"/>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369"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518"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2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65"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53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644"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r>
              <w:rPr>
                <w:rFonts w:hint="eastAsia" w:ascii="仿宋" w:hAnsi="仿宋" w:eastAsia="仿宋" w:cs="楷体_GB2312"/>
                <w:color w:val="000000"/>
                <w:sz w:val="24"/>
                <w:szCs w:val="24"/>
                <w:lang w:eastAsia="zh-CN"/>
              </w:rPr>
              <w:t>（元）</w:t>
            </w:r>
          </w:p>
        </w:tc>
        <w:tc>
          <w:tcPr>
            <w:tcW w:w="1518"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运输地点</w:t>
            </w:r>
          </w:p>
        </w:tc>
        <w:tc>
          <w:tcPr>
            <w:tcW w:w="639"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5211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369" w:type="dxa"/>
            <w:shd w:val="clear" w:color="auto" w:fill="auto"/>
            <w:noWrap/>
            <w:vAlign w:val="center"/>
          </w:tcPr>
          <w:p w14:paraId="111B8C4A">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518" w:type="dxa"/>
            <w:shd w:val="clear" w:color="auto" w:fill="auto"/>
            <w:noWrap/>
            <w:vAlign w:val="center"/>
          </w:tcPr>
          <w:p w14:paraId="3A2DC999">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煤矸石烧结空心砖</w:t>
            </w:r>
          </w:p>
        </w:tc>
        <w:tc>
          <w:tcPr>
            <w:tcW w:w="1620" w:type="dxa"/>
            <w:shd w:val="clear" w:color="auto" w:fill="auto"/>
            <w:noWrap/>
            <w:vAlign w:val="center"/>
          </w:tcPr>
          <w:p w14:paraId="21251451">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kern w:val="0"/>
                <w:sz w:val="24"/>
                <w:szCs w:val="24"/>
                <w:lang w:val="en-US" w:eastAsia="zh-CN"/>
              </w:rPr>
              <w:t>240*200*115</w:t>
            </w:r>
          </w:p>
        </w:tc>
        <w:tc>
          <w:tcPr>
            <w:tcW w:w="765" w:type="dxa"/>
            <w:shd w:val="clear" w:color="auto" w:fill="auto"/>
            <w:noWrap/>
            <w:vAlign w:val="center"/>
          </w:tcPr>
          <w:p w14:paraId="64DB9F53">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1530" w:type="dxa"/>
            <w:shd w:val="clear" w:color="auto" w:fill="auto"/>
            <w:noWrap/>
            <w:vAlign w:val="center"/>
          </w:tcPr>
          <w:p w14:paraId="2830432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3600</w:t>
            </w:r>
          </w:p>
        </w:tc>
        <w:tc>
          <w:tcPr>
            <w:tcW w:w="2644" w:type="dxa"/>
            <w:shd w:val="clear" w:color="auto" w:fill="auto"/>
            <w:noWrap/>
            <w:vAlign w:val="center"/>
          </w:tcPr>
          <w:p w14:paraId="1266D5FC">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当月信息价下浮</w:t>
            </w:r>
            <w:r>
              <w:rPr>
                <w:rFonts w:hint="eastAsia" w:ascii="仿宋" w:hAnsi="仿宋" w:eastAsia="仿宋" w:cs="仿宋"/>
                <w:color w:val="000000"/>
                <w:sz w:val="24"/>
                <w:szCs w:val="24"/>
                <w:u w:val="thick"/>
                <w:lang w:val="en-US" w:eastAsia="zh-CN"/>
              </w:rPr>
              <w:t xml:space="preserve">  </w:t>
            </w:r>
            <w:r>
              <w:rPr>
                <w:rFonts w:hint="eastAsia" w:ascii="仿宋" w:hAnsi="仿宋" w:eastAsia="仿宋" w:cs="仿宋"/>
                <w:color w:val="000000"/>
                <w:sz w:val="24"/>
                <w:szCs w:val="24"/>
                <w:lang w:val="en-US" w:eastAsia="zh-CN"/>
              </w:rPr>
              <w:t>%</w:t>
            </w:r>
          </w:p>
        </w:tc>
        <w:tc>
          <w:tcPr>
            <w:tcW w:w="1518" w:type="dxa"/>
            <w:vMerge w:val="restart"/>
            <w:shd w:val="clear" w:color="auto" w:fill="auto"/>
            <w:noWrap/>
            <w:vAlign w:val="center"/>
          </w:tcPr>
          <w:p w14:paraId="6AD2943A">
            <w:pPr>
              <w:widowControl/>
              <w:spacing w:line="320" w:lineRule="exact"/>
              <w:jc w:val="center"/>
              <w:textAlignment w:val="baseline"/>
              <w:rPr>
                <w:rFonts w:hint="default" w:ascii="仿宋" w:hAnsi="仿宋" w:eastAsia="仿宋" w:cs="仿宋"/>
                <w:b w:val="0"/>
                <w:bCs w:val="0"/>
                <w:color w:val="000000"/>
                <w:sz w:val="24"/>
                <w:szCs w:val="24"/>
                <w:lang w:val="en-US" w:eastAsia="zh-CN"/>
              </w:rPr>
            </w:pPr>
            <w:r>
              <w:rPr>
                <w:rFonts w:hint="eastAsia" w:ascii="仿宋" w:hAnsi="仿宋" w:eastAsia="仿宋" w:cs="楷体_GB2312"/>
                <w:b w:val="0"/>
                <w:bCs w:val="0"/>
                <w:color w:val="000000"/>
                <w:sz w:val="24"/>
                <w:szCs w:val="24"/>
                <w:lang w:eastAsia="zh-CN"/>
              </w:rPr>
              <w:t>田家庵区泰康街与淮河大道南段交汇西北</w:t>
            </w:r>
          </w:p>
        </w:tc>
        <w:tc>
          <w:tcPr>
            <w:tcW w:w="639" w:type="dxa"/>
            <w:vMerge w:val="restart"/>
            <w:shd w:val="clear" w:color="auto" w:fill="auto"/>
            <w:noWrap/>
            <w:vAlign w:val="center"/>
          </w:tcPr>
          <w:p w14:paraId="6DD0BD0B">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14:paraId="4FE6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69" w:type="dxa"/>
            <w:shd w:val="clear" w:color="auto" w:fill="auto"/>
            <w:noWrap/>
            <w:vAlign w:val="center"/>
          </w:tcPr>
          <w:p w14:paraId="079179E6">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518" w:type="dxa"/>
            <w:shd w:val="clear" w:color="auto" w:fill="auto"/>
            <w:noWrap/>
            <w:vAlign w:val="center"/>
          </w:tcPr>
          <w:p w14:paraId="6635FCB3">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煤矸石烧结多孔砖</w:t>
            </w:r>
          </w:p>
        </w:tc>
        <w:tc>
          <w:tcPr>
            <w:tcW w:w="1620" w:type="dxa"/>
            <w:shd w:val="clear" w:color="auto" w:fill="auto"/>
            <w:noWrap/>
            <w:vAlign w:val="center"/>
          </w:tcPr>
          <w:p w14:paraId="013F72FF">
            <w:pPr>
              <w:widowControl/>
              <w:spacing w:line="320" w:lineRule="exact"/>
              <w:jc w:val="center"/>
              <w:textAlignment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200*115*95</w:t>
            </w:r>
          </w:p>
        </w:tc>
        <w:tc>
          <w:tcPr>
            <w:tcW w:w="765" w:type="dxa"/>
            <w:shd w:val="clear" w:color="auto" w:fill="auto"/>
            <w:noWrap/>
            <w:vAlign w:val="center"/>
          </w:tcPr>
          <w:p w14:paraId="48728081">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百块</w:t>
            </w:r>
          </w:p>
        </w:tc>
        <w:tc>
          <w:tcPr>
            <w:tcW w:w="1530" w:type="dxa"/>
            <w:shd w:val="clear" w:color="auto" w:fill="auto"/>
            <w:noWrap/>
            <w:vAlign w:val="center"/>
          </w:tcPr>
          <w:p w14:paraId="14F602DE">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2600</w:t>
            </w:r>
          </w:p>
        </w:tc>
        <w:tc>
          <w:tcPr>
            <w:tcW w:w="2644" w:type="dxa"/>
            <w:shd w:val="clear" w:color="auto" w:fill="auto"/>
            <w:noWrap/>
            <w:vAlign w:val="center"/>
          </w:tcPr>
          <w:p w14:paraId="4136900B">
            <w:pPr>
              <w:widowControl/>
              <w:spacing w:line="320" w:lineRule="exact"/>
              <w:jc w:val="center"/>
              <w:textAlignment w:val="baseline"/>
              <w:rPr>
                <w:rFonts w:ascii="仿宋" w:hAnsi="仿宋" w:eastAsia="仿宋" w:cs="仿宋"/>
                <w:color w:val="000000"/>
                <w:sz w:val="24"/>
                <w:szCs w:val="24"/>
              </w:rPr>
            </w:pPr>
            <w:r>
              <w:rPr>
                <w:rFonts w:hint="default" w:ascii="仿宋" w:hAnsi="仿宋" w:eastAsia="仿宋" w:cs="仿宋"/>
                <w:color w:val="000000"/>
                <w:sz w:val="24"/>
                <w:szCs w:val="24"/>
                <w:lang w:val="en-US" w:eastAsia="zh-CN"/>
              </w:rPr>
              <w:t>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518" w:type="dxa"/>
            <w:vMerge w:val="continue"/>
            <w:shd w:val="clear" w:color="auto" w:fill="auto"/>
            <w:noWrap/>
            <w:vAlign w:val="center"/>
          </w:tcPr>
          <w:p w14:paraId="025773A1">
            <w:pPr>
              <w:widowControl/>
              <w:spacing w:line="320" w:lineRule="exact"/>
              <w:jc w:val="center"/>
              <w:textAlignment w:val="baseline"/>
              <w:rPr>
                <w:rFonts w:ascii="仿宋" w:hAnsi="仿宋" w:eastAsia="仿宋" w:cs="仿宋"/>
                <w:color w:val="000000"/>
                <w:sz w:val="24"/>
                <w:szCs w:val="24"/>
              </w:rPr>
            </w:pPr>
          </w:p>
        </w:tc>
        <w:tc>
          <w:tcPr>
            <w:tcW w:w="639" w:type="dxa"/>
            <w:vMerge w:val="continue"/>
            <w:shd w:val="clear" w:color="auto" w:fill="auto"/>
            <w:noWrap/>
            <w:vAlign w:val="center"/>
          </w:tcPr>
          <w:p w14:paraId="6805E5CD">
            <w:pPr>
              <w:widowControl/>
              <w:spacing w:line="320" w:lineRule="exact"/>
              <w:jc w:val="center"/>
              <w:textAlignment w:val="baseline"/>
              <w:rPr>
                <w:rFonts w:ascii="仿宋" w:hAnsi="仿宋" w:eastAsia="仿宋" w:cs="仿宋"/>
                <w:color w:val="000000"/>
                <w:sz w:val="24"/>
                <w:szCs w:val="24"/>
              </w:rPr>
            </w:pPr>
          </w:p>
        </w:tc>
      </w:tr>
      <w:tr w14:paraId="57A7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10603" w:type="dxa"/>
            <w:gridSpan w:val="8"/>
            <w:shd w:val="clear" w:color="auto" w:fill="auto"/>
            <w:noWrap/>
            <w:vAlign w:val="center"/>
          </w:tcPr>
          <w:p w14:paraId="75629DEF">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1、报价依据淮南市住房和城乡建设局发布的《淮南市材料价格信息》为基础进行下浮，结算时依据当月《淮南市材料价格信息》中的价格乘以下浮百分比进行结算，如当月信息价未出，待信息价发布后结算。</w:t>
            </w:r>
          </w:p>
          <w:p w14:paraId="3BA89502">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2、报价包括但不限于材料费、运输费、税费（13%专用增值税）等货到工地的一切费用。报价含13%增值税专用发票，含运输到项目施工现场费用，含打包费，含装卸费用。</w:t>
            </w:r>
          </w:p>
          <w:p w14:paraId="5A4DE406">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3、煤矸石烧结空心砖强度不低于MU3.5；煤矸石烧结多孔砖强度不低于MU10。</w:t>
            </w:r>
          </w:p>
          <w:p w14:paraId="71279C55">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4、付款方式为本材料无预付款，发生供货时，次月据实结算。</w:t>
            </w:r>
          </w:p>
          <w:p w14:paraId="3D9561D4">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5、每批次供货数量为5千块以上。</w:t>
            </w:r>
          </w:p>
        </w:tc>
      </w:tr>
    </w:tbl>
    <w:p w14:paraId="1314E538">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738102F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lang w:eastAsia="zh-CN"/>
        </w:rPr>
      </w:pPr>
      <w:r>
        <w:rPr>
          <w:rFonts w:hint="eastAsia" w:ascii="仿宋" w:hAnsi="仿宋" w:eastAsia="仿宋" w:cs="楷体_GB2312"/>
          <w:color w:val="000000"/>
          <w:sz w:val="28"/>
          <w:szCs w:val="28"/>
          <w:lang w:val="en-US" w:eastAsia="zh-CN"/>
        </w:rPr>
        <w:t xml:space="preserve">    5、供货期间每批次为5000块以上。</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lang w:eastAsia="zh-CN"/>
        </w:rPr>
        <w:t>按中华人民共和国国家标准及相应的全国行业标准制造。包括</w:t>
      </w:r>
      <w:r>
        <w:rPr>
          <w:rFonts w:hint="eastAsia" w:ascii="仿宋" w:hAnsi="仿宋" w:eastAsia="仿宋" w:cs="楷体_GB2312"/>
          <w:color w:val="000000"/>
          <w:sz w:val="28"/>
          <w:szCs w:val="28"/>
          <w:lang w:val="en-US" w:eastAsia="zh-CN"/>
        </w:rPr>
        <w:t>但</w:t>
      </w:r>
      <w:r>
        <w:rPr>
          <w:rFonts w:hint="eastAsia" w:ascii="仿宋" w:hAnsi="仿宋" w:eastAsia="仿宋" w:cs="楷体_GB2312"/>
          <w:color w:val="000000"/>
          <w:sz w:val="28"/>
          <w:szCs w:val="28"/>
          <w:lang w:eastAsia="zh-CN"/>
        </w:rPr>
        <w:t>不限于煤矸石</w:t>
      </w:r>
      <w:r>
        <w:rPr>
          <w:rFonts w:hint="eastAsia" w:ascii="仿宋" w:hAnsi="仿宋" w:eastAsia="仿宋" w:cs="楷体_GB2312"/>
          <w:color w:val="000000"/>
          <w:sz w:val="28"/>
          <w:szCs w:val="28"/>
        </w:rPr>
        <w:t>烧结</w:t>
      </w:r>
      <w:r>
        <w:rPr>
          <w:rFonts w:hint="eastAsia" w:ascii="仿宋" w:hAnsi="仿宋" w:eastAsia="仿宋" w:cs="楷体_GB2312"/>
          <w:color w:val="000000"/>
          <w:sz w:val="28"/>
          <w:szCs w:val="28"/>
          <w:lang w:eastAsia="zh-CN"/>
        </w:rPr>
        <w:t>多孔砖</w:t>
      </w:r>
      <w:r>
        <w:rPr>
          <w:rFonts w:hint="eastAsia" w:ascii="仿宋" w:hAnsi="仿宋" w:eastAsia="仿宋" w:cs="楷体_GB2312"/>
          <w:color w:val="000000"/>
          <w:sz w:val="28"/>
          <w:szCs w:val="28"/>
        </w:rPr>
        <w:t>国标：GB/T</w:t>
      </w:r>
      <w:r>
        <w:rPr>
          <w:rFonts w:hint="eastAsia" w:ascii="仿宋" w:hAnsi="仿宋" w:eastAsia="仿宋" w:cs="楷体_GB2312"/>
          <w:color w:val="000000"/>
          <w:sz w:val="28"/>
          <w:szCs w:val="28"/>
          <w:lang w:val="en-US" w:eastAsia="zh-CN"/>
        </w:rPr>
        <w:t xml:space="preserve"> 13544；</w:t>
      </w:r>
      <w:r>
        <w:rPr>
          <w:rFonts w:hint="eastAsia" w:ascii="仿宋" w:hAnsi="仿宋" w:eastAsia="仿宋" w:cs="楷体_GB2312"/>
          <w:color w:val="000000"/>
          <w:sz w:val="28"/>
          <w:szCs w:val="28"/>
          <w:lang w:eastAsia="zh-CN"/>
        </w:rPr>
        <w:t>煤矸石</w:t>
      </w:r>
      <w:r>
        <w:rPr>
          <w:rFonts w:hint="eastAsia" w:ascii="仿宋" w:hAnsi="仿宋" w:eastAsia="仿宋" w:cs="楷体_GB2312"/>
          <w:color w:val="000000"/>
          <w:sz w:val="28"/>
          <w:szCs w:val="28"/>
        </w:rPr>
        <w:t>烧结</w:t>
      </w:r>
      <w:r>
        <w:rPr>
          <w:rFonts w:hint="eastAsia" w:ascii="仿宋" w:hAnsi="仿宋" w:eastAsia="仿宋" w:cs="楷体_GB2312"/>
          <w:color w:val="000000"/>
          <w:sz w:val="28"/>
          <w:szCs w:val="28"/>
          <w:lang w:eastAsia="zh-CN"/>
        </w:rPr>
        <w:t>空心砖</w:t>
      </w:r>
      <w:r>
        <w:rPr>
          <w:rFonts w:hint="eastAsia" w:ascii="仿宋" w:hAnsi="仿宋" w:eastAsia="仿宋" w:cs="楷体_GB2312"/>
          <w:color w:val="000000"/>
          <w:sz w:val="28"/>
          <w:szCs w:val="28"/>
        </w:rPr>
        <w:t>国标</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GB/T</w:t>
      </w:r>
      <w:r>
        <w:rPr>
          <w:rFonts w:hint="eastAsia" w:ascii="仿宋" w:hAnsi="仿宋" w:eastAsia="仿宋" w:cs="楷体_GB2312"/>
          <w:color w:val="000000"/>
          <w:sz w:val="28"/>
          <w:szCs w:val="28"/>
          <w:lang w:val="en-US" w:eastAsia="zh-CN"/>
        </w:rPr>
        <w:t xml:space="preserve">  13545-2014          </w:t>
      </w:r>
    </w:p>
    <w:p w14:paraId="632427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4650AFA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3957F62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0132F6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、报价期间相关费用由报价人自理。</w:t>
      </w:r>
    </w:p>
    <w:p w14:paraId="4592D37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eastAsia="仿宋"/>
          <w:highlight w:val="red"/>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本次询价为</w:t>
      </w:r>
      <w:r>
        <w:rPr>
          <w:rFonts w:hint="eastAsia" w:ascii="仿宋" w:hAnsi="仿宋" w:eastAsia="仿宋" w:cs="仿宋"/>
          <w:color w:val="000000"/>
          <w:sz w:val="28"/>
          <w:szCs w:val="28"/>
          <w:lang w:eastAsia="zh-CN"/>
        </w:rPr>
        <w:t>煤矸石烧结空心砖（</w:t>
      </w:r>
      <w:r>
        <w:rPr>
          <w:rFonts w:hint="eastAsia" w:ascii="仿宋" w:hAnsi="仿宋" w:eastAsia="仿宋" w:cs="仿宋"/>
          <w:color w:val="000000"/>
          <w:sz w:val="28"/>
          <w:szCs w:val="28"/>
          <w:lang w:val="en-US" w:eastAsia="zh-CN"/>
        </w:rPr>
        <w:t>240*200*115，MU3.5</w:t>
      </w:r>
      <w:r>
        <w:rPr>
          <w:rFonts w:hint="eastAsia" w:ascii="仿宋" w:hAnsi="仿宋" w:eastAsia="仿宋" w:cs="仿宋"/>
          <w:color w:val="000000"/>
          <w:sz w:val="28"/>
          <w:szCs w:val="28"/>
          <w:lang w:eastAsia="zh-CN"/>
        </w:rPr>
        <w:t>）；煤矸石烧结多孔砖（</w:t>
      </w:r>
      <w:r>
        <w:rPr>
          <w:rFonts w:hint="eastAsia" w:ascii="仿宋" w:hAnsi="仿宋" w:eastAsia="仿宋" w:cs="仿宋"/>
          <w:color w:val="000000"/>
          <w:sz w:val="28"/>
          <w:szCs w:val="28"/>
          <w:lang w:val="en-US" w:eastAsia="zh-CN"/>
        </w:rPr>
        <w:t>200*115*95，MU10</w:t>
      </w:r>
      <w:r>
        <w:rPr>
          <w:rFonts w:hint="eastAsia" w:ascii="仿宋" w:hAnsi="仿宋" w:eastAsia="仿宋" w:cs="仿宋"/>
          <w:color w:val="000000"/>
          <w:sz w:val="28"/>
          <w:szCs w:val="28"/>
          <w:lang w:eastAsia="zh-CN"/>
        </w:rPr>
        <w:t>）</w:t>
      </w:r>
      <w:r>
        <w:rPr>
          <w:rFonts w:hint="eastAsia" w:ascii="仿宋" w:hAnsi="仿宋" w:eastAsia="仿宋" w:cs="楷体_GB2312"/>
          <w:color w:val="000000"/>
          <w:sz w:val="28"/>
          <w:szCs w:val="28"/>
          <w:lang w:val="en-US" w:eastAsia="zh-CN"/>
        </w:rPr>
        <w:t>，合同有效期至该项目竣工。</w:t>
      </w:r>
      <w:r>
        <w:rPr>
          <w:rFonts w:hint="eastAsia" w:ascii="仿宋" w:hAnsi="仿宋" w:eastAsia="仿宋" w:cs="楷体_GB2312"/>
          <w:color w:val="000000"/>
          <w:sz w:val="28"/>
          <w:szCs w:val="28"/>
        </w:rPr>
        <w:t>供应商在选中后，</w:t>
      </w:r>
      <w:r>
        <w:rPr>
          <w:rFonts w:hint="eastAsia" w:ascii="仿宋" w:hAnsi="仿宋" w:eastAsia="仿宋" w:cs="楷体_GB2312"/>
          <w:color w:val="000000"/>
          <w:sz w:val="28"/>
          <w:szCs w:val="28"/>
          <w:highlight w:val="none"/>
        </w:rPr>
        <w:t>合同履行期间</w:t>
      </w:r>
      <w:r>
        <w:rPr>
          <w:rFonts w:hint="eastAsia" w:ascii="仿宋" w:hAnsi="仿宋" w:eastAsia="仿宋" w:cs="楷体_GB2312"/>
          <w:color w:val="000000"/>
          <w:sz w:val="28"/>
          <w:szCs w:val="28"/>
          <w:highlight w:val="none"/>
          <w:lang w:eastAsia="zh-CN"/>
        </w:rPr>
        <w:t>价格不因市场价格波动</w:t>
      </w:r>
      <w:r>
        <w:rPr>
          <w:rFonts w:hint="eastAsia" w:ascii="仿宋" w:hAnsi="仿宋" w:eastAsia="仿宋" w:cs="楷体_GB2312"/>
          <w:color w:val="000000"/>
          <w:sz w:val="28"/>
          <w:szCs w:val="28"/>
          <w:highlight w:val="none"/>
          <w:lang w:val="en-US" w:eastAsia="zh-CN"/>
        </w:rPr>
        <w:t>调整下浮率</w:t>
      </w:r>
      <w:r>
        <w:rPr>
          <w:rFonts w:hint="eastAsia" w:ascii="仿宋" w:hAnsi="仿宋" w:eastAsia="仿宋" w:cs="楷体_GB2312"/>
          <w:color w:val="000000"/>
          <w:sz w:val="28"/>
          <w:szCs w:val="28"/>
          <w:highlight w:val="none"/>
          <w:lang w:eastAsia="zh-CN"/>
        </w:rPr>
        <w:t>，如因价格原因拒绝供货，需方可没收履约保证金作为违约金，并</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r>
        <w:rPr>
          <w:rFonts w:hint="eastAsia" w:ascii="仿宋" w:hAnsi="仿宋" w:eastAsia="仿宋" w:cs="楷体_GB2312"/>
          <w:color w:val="000000"/>
          <w:sz w:val="28"/>
          <w:szCs w:val="28"/>
          <w:highlight w:val="none"/>
          <w:lang w:eastAsia="zh-CN"/>
        </w:rPr>
        <w:t>如供方</w:t>
      </w:r>
      <w:r>
        <w:rPr>
          <w:rFonts w:hint="eastAsia" w:ascii="仿宋" w:hAnsi="仿宋" w:eastAsia="仿宋" w:cs="楷体_GB2312"/>
          <w:color w:val="000000"/>
          <w:sz w:val="28"/>
          <w:szCs w:val="28"/>
          <w:highlight w:val="none"/>
        </w:rPr>
        <w:t>不能及时保障供应，</w:t>
      </w:r>
      <w:r>
        <w:rPr>
          <w:rFonts w:hint="eastAsia" w:ascii="仿宋" w:hAnsi="仿宋" w:eastAsia="仿宋" w:cs="楷体_GB2312"/>
          <w:color w:val="000000"/>
          <w:sz w:val="28"/>
          <w:szCs w:val="28"/>
          <w:highlight w:val="none"/>
          <w:lang w:val="en-US" w:eastAsia="zh-CN"/>
        </w:rPr>
        <w:t>视为违约，违约金同上</w:t>
      </w:r>
      <w:r>
        <w:rPr>
          <w:rFonts w:hint="eastAsia" w:ascii="仿宋" w:hAnsi="仿宋" w:eastAsia="仿宋" w:cs="楷体_GB2312"/>
          <w:color w:val="000000"/>
          <w:sz w:val="28"/>
          <w:szCs w:val="28"/>
          <w:highlight w:val="none"/>
        </w:rPr>
        <w:t>，</w:t>
      </w:r>
      <w:r>
        <w:rPr>
          <w:rFonts w:hint="eastAsia" w:ascii="仿宋" w:hAnsi="仿宋" w:eastAsia="仿宋" w:cs="楷体_GB2312"/>
          <w:color w:val="000000"/>
          <w:sz w:val="28"/>
          <w:szCs w:val="28"/>
          <w:highlight w:val="none"/>
          <w:lang w:eastAsia="zh-CN"/>
        </w:rPr>
        <w:t>需方同样</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p>
    <w:p w14:paraId="244211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3504B060">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w:t>
      </w:r>
    </w:p>
    <w:p w14:paraId="5FC46F5F">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68E9BBA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14519432">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16</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山南新区智慧谷一号楼二层会议（地址：山南新区智慧谷一号楼）</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u w:val="single"/>
          <w:lang w:val="en-US" w:eastAsia="zh-CN"/>
        </w:rPr>
        <w:t>2024</w:t>
      </w:r>
      <w:r>
        <w:rPr>
          <w:rFonts w:hint="eastAsia" w:ascii="仿宋" w:hAnsi="仿宋" w:eastAsia="仿宋" w:cs="楷体_GB2312"/>
          <w:color w:val="000000"/>
          <w:sz w:val="28"/>
          <w:szCs w:val="28"/>
          <w:lang w:val="en-US" w:eastAsia="zh-CN"/>
        </w:rPr>
        <w:t>年</w:t>
      </w:r>
      <w:r>
        <w:rPr>
          <w:rFonts w:hint="eastAsia" w:ascii="仿宋" w:hAnsi="仿宋" w:eastAsia="仿宋" w:cs="楷体_GB2312"/>
          <w:color w:val="000000"/>
          <w:sz w:val="28"/>
          <w:szCs w:val="28"/>
          <w:u w:val="single"/>
          <w:lang w:val="en-US" w:eastAsia="zh-CN"/>
        </w:rPr>
        <w:t>16</w:t>
      </w:r>
      <w:r>
        <w:rPr>
          <w:rFonts w:hint="eastAsia" w:ascii="仿宋" w:hAnsi="仿宋" w:eastAsia="仿宋" w:cs="楷体_GB2312"/>
          <w:color w:val="000000"/>
          <w:sz w:val="28"/>
          <w:szCs w:val="28"/>
          <w:lang w:val="en-US" w:eastAsia="zh-CN"/>
        </w:rPr>
        <w:t>日</w:t>
      </w:r>
      <w:r>
        <w:rPr>
          <w:rFonts w:hint="eastAsia" w:ascii="仿宋" w:hAnsi="仿宋" w:eastAsia="仿宋" w:cs="楷体_GB2312"/>
          <w:color w:val="000000"/>
          <w:sz w:val="28"/>
          <w:szCs w:val="28"/>
          <w:u w:val="single"/>
          <w:lang w:val="en-US" w:eastAsia="zh-CN"/>
        </w:rPr>
        <w:t>8</w:t>
      </w:r>
      <w:r>
        <w:rPr>
          <w:rFonts w:hint="eastAsia" w:ascii="仿宋" w:hAnsi="仿宋" w:eastAsia="仿宋" w:cs="楷体_GB2312"/>
          <w:color w:val="000000"/>
          <w:sz w:val="28"/>
          <w:szCs w:val="28"/>
          <w:lang w:val="en-US" w:eastAsia="zh-CN"/>
        </w:rPr>
        <w:t>时前或</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16</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w:t>
      </w:r>
      <w:bookmarkStart w:id="0" w:name="_GoBack"/>
      <w:bookmarkEnd w:id="0"/>
      <w:r>
        <w:rPr>
          <w:rFonts w:hint="eastAsia" w:ascii="仿宋" w:hAnsi="仿宋" w:eastAsia="仿宋" w:cs="楷体_GB2312"/>
          <w:sz w:val="28"/>
          <w:szCs w:val="28"/>
        </w:rPr>
        <w:t>各方报价文件。</w:t>
      </w:r>
    </w:p>
    <w:p w14:paraId="494A8B6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2、报价方在提供报价文件时，提供报价保证金人民币伍万元（¥50000元）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2C6A22D">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651095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w:t>
      </w:r>
      <w:r>
        <w:rPr>
          <w:rFonts w:hint="eastAsia" w:ascii="仿宋" w:hAnsi="仿宋" w:eastAsia="仿宋" w:cs="楷体_GB2312"/>
          <w:color w:val="000000"/>
          <w:sz w:val="28"/>
          <w:szCs w:val="28"/>
          <w:lang w:val="en-US" w:eastAsia="zh-CN"/>
        </w:rPr>
        <w:t>调整下浮率</w:t>
      </w:r>
      <w:r>
        <w:rPr>
          <w:rFonts w:hint="eastAsia" w:ascii="仿宋" w:hAnsi="仿宋" w:eastAsia="仿宋" w:cs="楷体_GB2312"/>
          <w:color w:val="000000"/>
          <w:sz w:val="28"/>
          <w:szCs w:val="28"/>
        </w:rPr>
        <w:t>。</w:t>
      </w:r>
    </w:p>
    <w:p w14:paraId="4013342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4、本次询价报价单位少于两家或所有报价均被否决的，重新进行询价，只有两家报价单位自动转为竞争性谈判。</w:t>
      </w:r>
    </w:p>
    <w:p w14:paraId="154A044D">
      <w:pPr>
        <w:rPr>
          <w:rFonts w:hint="default"/>
          <w:lang w:val="en-US" w:eastAsia="zh-CN"/>
        </w:rPr>
      </w:pPr>
      <w:r>
        <w:rPr>
          <w:rFonts w:hint="eastAsia" w:ascii="仿宋" w:hAnsi="仿宋" w:eastAsia="仿宋" w:cs="楷体_GB2312"/>
          <w:color w:val="000000"/>
          <w:sz w:val="28"/>
          <w:szCs w:val="28"/>
          <w:lang w:val="en-US" w:eastAsia="zh-CN"/>
        </w:rPr>
        <w:t xml:space="preserve">    5、监督人电话：133-5554-9738</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4F1DD823">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商务</w:t>
      </w:r>
      <w:r>
        <w:rPr>
          <w:rFonts w:hint="eastAsia" w:ascii="仿宋" w:hAnsi="仿宋" w:eastAsia="仿宋" w:cs="楷体_GB2312"/>
          <w:color w:val="000000"/>
          <w:sz w:val="28"/>
          <w:szCs w:val="28"/>
          <w:lang w:eastAsia="zh-CN"/>
        </w:rPr>
        <w:t>座机</w:t>
      </w:r>
      <w:r>
        <w:rPr>
          <w:rFonts w:hint="eastAsia" w:ascii="仿宋" w:hAnsi="仿宋" w:eastAsia="仿宋" w:cs="楷体_GB2312"/>
          <w:color w:val="000000"/>
          <w:sz w:val="28"/>
          <w:szCs w:val="28"/>
        </w:rPr>
        <w:t>：0554-</w:t>
      </w:r>
      <w:r>
        <w:rPr>
          <w:rFonts w:hint="eastAsia" w:ascii="仿宋" w:hAnsi="仿宋" w:eastAsia="仿宋" w:cs="楷体_GB2312"/>
          <w:color w:val="000000"/>
          <w:sz w:val="28"/>
          <w:szCs w:val="28"/>
          <w:lang w:val="en-US" w:eastAsia="zh-CN"/>
        </w:rPr>
        <w:t>2122868</w:t>
      </w:r>
    </w:p>
    <w:p w14:paraId="104C5E53">
      <w:pPr>
        <w:pStyle w:val="2"/>
        <w:rPr>
          <w:rFonts w:hint="default"/>
          <w:lang w:val="en-US" w:eastAsia="zh-CN"/>
        </w:rPr>
      </w:pPr>
      <w:r>
        <w:rPr>
          <w:rFonts w:hint="eastAsia" w:ascii="仿宋" w:hAnsi="仿宋" w:eastAsia="仿宋" w:cs="楷体_GB2312"/>
          <w:color w:val="000000"/>
          <w:sz w:val="28"/>
          <w:szCs w:val="28"/>
          <w:lang w:val="en-US" w:eastAsia="zh-CN"/>
        </w:rPr>
        <w:t xml:space="preserve">                              商务电话：197-1980-4594</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10</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9</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7D6AEB0A">
      <w:pPr>
        <w:pStyle w:val="2"/>
        <w:rPr>
          <w:rFonts w:hint="eastAsia" w:ascii="仿宋" w:hAnsi="仿宋" w:eastAsia="仿宋" w:cs="仿宋"/>
          <w:color w:val="000000"/>
          <w:sz w:val="28"/>
          <w:szCs w:val="28"/>
        </w:rPr>
      </w:pPr>
    </w:p>
    <w:p w14:paraId="771442D0">
      <w:pPr>
        <w:pStyle w:val="2"/>
        <w:ind w:left="0" w:leftChars="0" w:firstLine="0" w:firstLineChars="0"/>
        <w:rPr>
          <w:rFonts w:hint="eastAsia" w:ascii="仿宋" w:hAnsi="仿宋" w:eastAsia="仿宋" w:cs="仿宋"/>
          <w:color w:val="000000"/>
          <w:sz w:val="28"/>
          <w:szCs w:val="28"/>
        </w:rPr>
      </w:pPr>
    </w:p>
    <w:p w14:paraId="4BBBAD14">
      <w:pPr>
        <w:rPr>
          <w:rFonts w:hint="eastAsia" w:ascii="仿宋" w:hAnsi="仿宋" w:eastAsia="仿宋" w:cs="仿宋"/>
          <w:color w:val="000000"/>
          <w:sz w:val="28"/>
          <w:szCs w:val="28"/>
        </w:rPr>
      </w:pPr>
    </w:p>
    <w:p w14:paraId="3F3CA1D0">
      <w:pPr>
        <w:pStyle w:val="2"/>
        <w:rPr>
          <w:rFonts w:hint="eastAsia"/>
        </w:rPr>
      </w:pPr>
    </w:p>
    <w:p w14:paraId="300F789B">
      <w:pPr>
        <w:rPr>
          <w:rFonts w:hint="eastAsia"/>
        </w:rPr>
      </w:pPr>
    </w:p>
    <w:p w14:paraId="6FAEFFB0">
      <w:pPr>
        <w:pStyle w:val="2"/>
        <w:rPr>
          <w:rFonts w:hint="eastAsia"/>
        </w:rPr>
      </w:pPr>
    </w:p>
    <w:p w14:paraId="5FF0B23F">
      <w:pPr>
        <w:rPr>
          <w:rFonts w:hint="eastAsia"/>
        </w:rPr>
      </w:pPr>
    </w:p>
    <w:p w14:paraId="731A2A7B">
      <w:pPr>
        <w:rPr>
          <w:rFonts w:hint="eastAsia"/>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8003F71">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10056" w:type="dxa"/>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819"/>
        <w:gridCol w:w="1048"/>
        <w:gridCol w:w="1660"/>
        <w:gridCol w:w="938"/>
        <w:gridCol w:w="779"/>
        <w:gridCol w:w="1650"/>
        <w:gridCol w:w="1327"/>
        <w:gridCol w:w="1327"/>
      </w:tblGrid>
      <w:tr w14:paraId="7C5A7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trPr>
        <w:tc>
          <w:tcPr>
            <w:tcW w:w="508" w:type="dxa"/>
            <w:shd w:val="clear" w:color="auto" w:fill="auto"/>
            <w:noWrap/>
            <w:vAlign w:val="center"/>
          </w:tcPr>
          <w:p w14:paraId="73E5A292">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867" w:type="dxa"/>
            <w:gridSpan w:val="2"/>
            <w:shd w:val="clear" w:color="auto" w:fill="auto"/>
            <w:noWrap/>
            <w:vAlign w:val="center"/>
          </w:tcPr>
          <w:p w14:paraId="199B6A7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660" w:type="dxa"/>
            <w:shd w:val="clear" w:color="auto" w:fill="auto"/>
            <w:noWrap/>
            <w:vAlign w:val="center"/>
          </w:tcPr>
          <w:p w14:paraId="6AB9E0D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938" w:type="dxa"/>
            <w:shd w:val="clear" w:color="auto" w:fill="auto"/>
            <w:noWrap/>
            <w:vAlign w:val="center"/>
          </w:tcPr>
          <w:p w14:paraId="7F4195F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779" w:type="dxa"/>
            <w:shd w:val="clear" w:color="auto" w:fill="auto"/>
            <w:noWrap/>
            <w:vAlign w:val="center"/>
          </w:tcPr>
          <w:p w14:paraId="02A6810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650" w:type="dxa"/>
            <w:shd w:val="clear" w:color="auto" w:fill="auto"/>
            <w:noWrap/>
            <w:vAlign w:val="center"/>
          </w:tcPr>
          <w:p w14:paraId="1779C69A">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楷体_GB2312"/>
                <w:color w:val="000000"/>
                <w:sz w:val="21"/>
                <w:szCs w:val="21"/>
                <w:lang w:val="en-US" w:eastAsia="zh-CN"/>
              </w:rPr>
            </w:pPr>
            <w:r>
              <w:rPr>
                <w:rFonts w:hint="eastAsia" w:ascii="仿宋" w:hAnsi="仿宋" w:eastAsia="仿宋" w:cs="楷体_GB2312"/>
                <w:color w:val="000000"/>
                <w:sz w:val="21"/>
                <w:szCs w:val="21"/>
              </w:rPr>
              <w:t>单价</w:t>
            </w:r>
            <w:r>
              <w:rPr>
                <w:rFonts w:hint="eastAsia" w:ascii="仿宋" w:hAnsi="仿宋" w:eastAsia="仿宋" w:cs="楷体_GB2312"/>
                <w:color w:val="000000"/>
                <w:sz w:val="21"/>
                <w:szCs w:val="21"/>
                <w:lang w:eastAsia="zh-CN"/>
              </w:rPr>
              <w:t>（元）</w:t>
            </w:r>
          </w:p>
        </w:tc>
        <w:tc>
          <w:tcPr>
            <w:tcW w:w="1327" w:type="dxa"/>
            <w:shd w:val="clear" w:color="auto" w:fill="auto"/>
            <w:noWrap/>
            <w:vAlign w:val="center"/>
          </w:tcPr>
          <w:p w14:paraId="6DA0D12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运输地点</w:t>
            </w:r>
          </w:p>
        </w:tc>
        <w:tc>
          <w:tcPr>
            <w:tcW w:w="1327" w:type="dxa"/>
            <w:shd w:val="clear" w:color="auto" w:fill="auto"/>
            <w:noWrap/>
            <w:vAlign w:val="center"/>
          </w:tcPr>
          <w:p w14:paraId="7CE33CAF">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备注</w:t>
            </w:r>
          </w:p>
        </w:tc>
      </w:tr>
      <w:tr w14:paraId="66C05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508" w:type="dxa"/>
            <w:shd w:val="clear" w:color="auto" w:fill="auto"/>
            <w:noWrap/>
            <w:vAlign w:val="center"/>
          </w:tcPr>
          <w:p w14:paraId="4E92359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 w:hAnsi="仿宋" w:eastAsia="仿宋" w:cs="仿宋"/>
                <w:color w:val="000000"/>
                <w:sz w:val="21"/>
                <w:szCs w:val="21"/>
              </w:rPr>
            </w:pPr>
            <w:r>
              <w:rPr>
                <w:rFonts w:hint="eastAsia" w:ascii="仿宋" w:hAnsi="仿宋" w:eastAsia="仿宋" w:cs="宋体"/>
                <w:color w:val="000000"/>
                <w:kern w:val="0"/>
                <w:sz w:val="21"/>
                <w:szCs w:val="21"/>
              </w:rPr>
              <w:t>1</w:t>
            </w:r>
          </w:p>
        </w:tc>
        <w:tc>
          <w:tcPr>
            <w:tcW w:w="1867" w:type="dxa"/>
            <w:gridSpan w:val="2"/>
            <w:shd w:val="clear" w:color="auto" w:fill="auto"/>
            <w:noWrap/>
            <w:vAlign w:val="center"/>
          </w:tcPr>
          <w:p w14:paraId="396F8578">
            <w:pPr>
              <w:widowControl/>
              <w:spacing w:line="320" w:lineRule="exact"/>
              <w:jc w:val="center"/>
              <w:textAlignment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煤矸石烧结空心砖</w:t>
            </w:r>
          </w:p>
        </w:tc>
        <w:tc>
          <w:tcPr>
            <w:tcW w:w="1660" w:type="dxa"/>
            <w:shd w:val="clear" w:color="auto" w:fill="auto"/>
            <w:noWrap/>
            <w:vAlign w:val="center"/>
          </w:tcPr>
          <w:p w14:paraId="069BA5E8">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0"/>
                <w:sz w:val="24"/>
                <w:szCs w:val="24"/>
                <w:lang w:val="en-US" w:eastAsia="zh-CN"/>
              </w:rPr>
              <w:t>240*200*115</w:t>
            </w:r>
          </w:p>
        </w:tc>
        <w:tc>
          <w:tcPr>
            <w:tcW w:w="938" w:type="dxa"/>
            <w:shd w:val="clear" w:color="auto" w:fill="auto"/>
            <w:noWrap/>
            <w:vAlign w:val="center"/>
          </w:tcPr>
          <w:p w14:paraId="39AF77ED">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千块</w:t>
            </w:r>
          </w:p>
        </w:tc>
        <w:tc>
          <w:tcPr>
            <w:tcW w:w="779" w:type="dxa"/>
            <w:shd w:val="clear" w:color="auto" w:fill="auto"/>
            <w:noWrap/>
            <w:vAlign w:val="center"/>
          </w:tcPr>
          <w:p w14:paraId="6834BF78">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3600</w:t>
            </w:r>
          </w:p>
        </w:tc>
        <w:tc>
          <w:tcPr>
            <w:tcW w:w="1650" w:type="dxa"/>
            <w:shd w:val="clear" w:color="auto" w:fill="auto"/>
            <w:noWrap/>
            <w:vAlign w:val="center"/>
          </w:tcPr>
          <w:p w14:paraId="587F75CF">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当月信息价下浮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w:t>
            </w:r>
          </w:p>
        </w:tc>
        <w:tc>
          <w:tcPr>
            <w:tcW w:w="1327" w:type="dxa"/>
            <w:vMerge w:val="restart"/>
            <w:shd w:val="clear" w:color="auto" w:fill="auto"/>
            <w:noWrap/>
            <w:vAlign w:val="center"/>
          </w:tcPr>
          <w:p w14:paraId="365FFC22">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田家庵区泰康街与淮河大道南段交汇西北</w:t>
            </w:r>
          </w:p>
        </w:tc>
        <w:tc>
          <w:tcPr>
            <w:tcW w:w="1327" w:type="dxa"/>
            <w:shd w:val="clear" w:color="auto" w:fill="auto"/>
            <w:noWrap/>
            <w:vAlign w:val="center"/>
          </w:tcPr>
          <w:p w14:paraId="1C40F2A9">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强度：</w:t>
            </w:r>
            <w:r>
              <w:rPr>
                <w:rFonts w:hint="eastAsia" w:ascii="仿宋" w:hAnsi="仿宋" w:eastAsia="仿宋" w:cs="仿宋"/>
                <w:color w:val="000000"/>
                <w:sz w:val="24"/>
                <w:szCs w:val="24"/>
                <w:lang w:val="en-US" w:eastAsia="zh-CN"/>
              </w:rPr>
              <w:t>MU3.5</w:t>
            </w:r>
          </w:p>
        </w:tc>
      </w:tr>
      <w:tr w14:paraId="31A3C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508" w:type="dxa"/>
            <w:shd w:val="clear" w:color="auto" w:fill="auto"/>
            <w:noWrap/>
            <w:vAlign w:val="center"/>
          </w:tcPr>
          <w:p w14:paraId="5335599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1867" w:type="dxa"/>
            <w:gridSpan w:val="2"/>
            <w:shd w:val="clear" w:color="auto" w:fill="auto"/>
            <w:noWrap/>
            <w:vAlign w:val="center"/>
          </w:tcPr>
          <w:p w14:paraId="1FB8D467">
            <w:pPr>
              <w:widowControl/>
              <w:spacing w:line="320" w:lineRule="exact"/>
              <w:jc w:val="center"/>
              <w:textAlignment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煤矸石烧结多孔砖</w:t>
            </w:r>
          </w:p>
        </w:tc>
        <w:tc>
          <w:tcPr>
            <w:tcW w:w="1660" w:type="dxa"/>
            <w:shd w:val="clear" w:color="auto" w:fill="auto"/>
            <w:noWrap/>
            <w:vAlign w:val="center"/>
          </w:tcPr>
          <w:p w14:paraId="6CB46028">
            <w:pPr>
              <w:widowControl/>
              <w:spacing w:line="320" w:lineRule="exact"/>
              <w:jc w:val="center"/>
              <w:textAlignment w:val="center"/>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rPr>
              <w:t>200*115*95</w:t>
            </w:r>
          </w:p>
        </w:tc>
        <w:tc>
          <w:tcPr>
            <w:tcW w:w="938" w:type="dxa"/>
            <w:shd w:val="clear" w:color="auto" w:fill="auto"/>
            <w:noWrap/>
            <w:vAlign w:val="center"/>
          </w:tcPr>
          <w:p w14:paraId="6ED08712">
            <w:pPr>
              <w:widowControl/>
              <w:spacing w:line="320" w:lineRule="exact"/>
              <w:jc w:val="center"/>
              <w:textAlignment w:val="center"/>
              <w:rPr>
                <w:rFonts w:hint="default"/>
                <w:lang w:val="en-US" w:eastAsia="zh-CN"/>
              </w:rPr>
            </w:pPr>
            <w:r>
              <w:rPr>
                <w:rFonts w:hint="eastAsia" w:ascii="仿宋" w:hAnsi="仿宋" w:eastAsia="仿宋" w:cs="仿宋"/>
                <w:color w:val="000000"/>
                <w:kern w:val="2"/>
                <w:sz w:val="24"/>
                <w:szCs w:val="24"/>
                <w:lang w:val="en-US" w:eastAsia="zh-CN" w:bidi="ar-SA"/>
              </w:rPr>
              <w:t>百块</w:t>
            </w:r>
          </w:p>
        </w:tc>
        <w:tc>
          <w:tcPr>
            <w:tcW w:w="779" w:type="dxa"/>
            <w:shd w:val="clear" w:color="auto" w:fill="auto"/>
            <w:noWrap/>
            <w:vAlign w:val="center"/>
          </w:tcPr>
          <w:p w14:paraId="0B877C14">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2600</w:t>
            </w:r>
          </w:p>
        </w:tc>
        <w:tc>
          <w:tcPr>
            <w:tcW w:w="1650" w:type="dxa"/>
            <w:shd w:val="clear" w:color="auto" w:fill="auto"/>
            <w:noWrap/>
            <w:vAlign w:val="center"/>
          </w:tcPr>
          <w:p w14:paraId="5FE1E423">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rPr>
              <w:t>当月信息价下浮</w:t>
            </w:r>
            <w:r>
              <w:rPr>
                <w:rFonts w:hint="eastAsia" w:ascii="仿宋" w:hAnsi="仿宋" w:eastAsia="仿宋" w:cs="仿宋"/>
                <w:color w:val="000000"/>
                <w:sz w:val="21"/>
                <w:szCs w:val="21"/>
                <w:u w:val="single"/>
              </w:rPr>
              <w:t xml:space="preserve">  </w:t>
            </w:r>
            <w:r>
              <w:rPr>
                <w:rFonts w:hint="eastAsia" w:ascii="仿宋" w:hAnsi="仿宋" w:eastAsia="仿宋" w:cs="仿宋"/>
                <w:color w:val="000000"/>
                <w:sz w:val="21"/>
                <w:szCs w:val="21"/>
              </w:rPr>
              <w:t>%</w:t>
            </w:r>
          </w:p>
        </w:tc>
        <w:tc>
          <w:tcPr>
            <w:tcW w:w="1327" w:type="dxa"/>
            <w:vMerge w:val="continue"/>
            <w:shd w:val="clear" w:color="auto" w:fill="auto"/>
            <w:noWrap/>
            <w:vAlign w:val="center"/>
          </w:tcPr>
          <w:p w14:paraId="2692C1B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仿宋"/>
                <w:color w:val="000000"/>
                <w:sz w:val="21"/>
                <w:szCs w:val="21"/>
                <w:lang w:val="en-US" w:eastAsia="zh-CN"/>
              </w:rPr>
            </w:pPr>
          </w:p>
        </w:tc>
        <w:tc>
          <w:tcPr>
            <w:tcW w:w="1327" w:type="dxa"/>
            <w:shd w:val="clear" w:color="auto" w:fill="auto"/>
            <w:noWrap/>
            <w:vAlign w:val="center"/>
          </w:tcPr>
          <w:p w14:paraId="16AE9E6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rPr>
            </w:pPr>
            <w:r>
              <w:rPr>
                <w:rFonts w:hint="eastAsia" w:ascii="仿宋" w:hAnsi="仿宋" w:eastAsia="仿宋" w:cs="仿宋"/>
                <w:color w:val="000000"/>
                <w:sz w:val="21"/>
                <w:szCs w:val="21"/>
                <w:lang w:val="en-US" w:eastAsia="zh-CN"/>
              </w:rPr>
              <w:t>强度：</w:t>
            </w:r>
            <w:r>
              <w:rPr>
                <w:rFonts w:hint="eastAsia" w:ascii="仿宋" w:hAnsi="仿宋" w:eastAsia="仿宋" w:cs="仿宋"/>
                <w:color w:val="000000"/>
                <w:sz w:val="24"/>
                <w:szCs w:val="24"/>
                <w:lang w:val="en-US" w:eastAsia="zh-CN"/>
              </w:rPr>
              <w:t>MU10</w:t>
            </w:r>
          </w:p>
        </w:tc>
      </w:tr>
      <w:tr w14:paraId="7B55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3" w:hRule="atLeast"/>
        </w:trPr>
        <w:tc>
          <w:tcPr>
            <w:tcW w:w="1327" w:type="dxa"/>
            <w:gridSpan w:val="2"/>
            <w:shd w:val="clear" w:color="auto" w:fill="auto"/>
            <w:noWrap/>
            <w:vAlign w:val="center"/>
          </w:tcPr>
          <w:p w14:paraId="445F7C48">
            <w:pPr>
              <w:pStyle w:val="2"/>
              <w:numPr>
                <w:ilvl w:val="0"/>
                <w:numId w:val="0"/>
              </w:numPr>
              <w:ind w:firstLine="720" w:firstLineChars="300"/>
              <w:jc w:val="both"/>
              <w:rPr>
                <w:rFonts w:hint="eastAsia" w:ascii="仿宋" w:hAnsi="仿宋" w:eastAsia="仿宋" w:cs="仿宋"/>
                <w:sz w:val="24"/>
                <w:szCs w:val="24"/>
                <w:lang w:val="en-US" w:eastAsia="zh-CN"/>
              </w:rPr>
            </w:pPr>
          </w:p>
        </w:tc>
        <w:tc>
          <w:tcPr>
            <w:tcW w:w="8729" w:type="dxa"/>
            <w:gridSpan w:val="7"/>
            <w:shd w:val="clear" w:color="auto" w:fill="auto"/>
            <w:noWrap/>
            <w:vAlign w:val="center"/>
          </w:tcPr>
          <w:p w14:paraId="690189D5">
            <w:pPr>
              <w:pStyle w:val="2"/>
              <w:numPr>
                <w:ilvl w:val="0"/>
                <w:numId w:val="0"/>
              </w:num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说明：1、报价依据淮南市住房和城乡建设局发布的《淮南市材料价格信息》为基础进行下浮，结算时依据当月《淮南市材料价格信息》中的价格乘以下浮百分比进行结算，如当月信息价未出，待信息价发布后结算。</w:t>
            </w:r>
          </w:p>
          <w:p w14:paraId="3CB9B2AE">
            <w:pPr>
              <w:pStyle w:val="2"/>
              <w:numPr>
                <w:ilvl w:val="0"/>
                <w:numId w:val="0"/>
              </w:num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2、报价包括但不限于材料费、运输费、税费（13%专用增值税）等货到工地的一切费用。报价含13%增值税专用发票，含运输到项目施工现场费用，含打包费，含装卸费用。</w:t>
            </w:r>
          </w:p>
          <w:p w14:paraId="7E7158E4">
            <w:pPr>
              <w:pStyle w:val="2"/>
              <w:numPr>
                <w:ilvl w:val="0"/>
                <w:numId w:val="0"/>
              </w:num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3、煤矸石烧结空心砖强度不低于MU3.5；煤矸石烧结多孔砖强度不低于MU10。</w:t>
            </w:r>
          </w:p>
          <w:p w14:paraId="00FAE358">
            <w:pPr>
              <w:pStyle w:val="2"/>
              <w:numPr>
                <w:ilvl w:val="0"/>
                <w:numId w:val="0"/>
              </w:num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4、付款方式为本材料无预付款，发生供货时，次月据实结算。</w:t>
            </w:r>
          </w:p>
          <w:p w14:paraId="6CA81875">
            <w:pPr>
              <w:pStyle w:val="2"/>
              <w:numPr>
                <w:ilvl w:val="0"/>
                <w:numId w:val="0"/>
              </w:numPr>
              <w:ind w:firstLine="720" w:firstLineChars="300"/>
              <w:jc w:val="both"/>
              <w:rPr>
                <w:rFonts w:hint="default"/>
                <w:lang w:val="en-US" w:eastAsia="zh-CN"/>
              </w:rPr>
            </w:pPr>
            <w:r>
              <w:rPr>
                <w:rFonts w:hint="eastAsia" w:ascii="仿宋" w:hAnsi="仿宋" w:eastAsia="仿宋" w:cs="仿宋"/>
                <w:sz w:val="24"/>
                <w:szCs w:val="24"/>
                <w:lang w:val="en-US" w:eastAsia="zh-CN"/>
              </w:rPr>
              <w:t>5、每批次供货数量为5千块以上。</w:t>
            </w:r>
          </w:p>
        </w:tc>
      </w:tr>
    </w:tbl>
    <w:p w14:paraId="76DE9025">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14:paraId="1AF03543">
      <w:pPr>
        <w:textAlignment w:val="baseline"/>
        <w:rPr>
          <w:rFonts w:hint="eastAsia" w:ascii="仿宋" w:hAnsi="仿宋" w:eastAsia="仿宋" w:cs="楷体_GB2312"/>
          <w:color w:val="000000"/>
          <w:sz w:val="28"/>
          <w:szCs w:val="28"/>
          <w:lang w:eastAsia="zh-CN"/>
        </w:rPr>
      </w:pPr>
    </w:p>
    <w:p w14:paraId="214B2399">
      <w:pPr>
        <w:textAlignment w:val="baseline"/>
        <w:rPr>
          <w:rFonts w:hint="eastAsia" w:ascii="仿宋" w:hAnsi="仿宋" w:eastAsia="仿宋" w:cs="楷体_GB2312"/>
          <w:color w:val="000000"/>
          <w:sz w:val="28"/>
          <w:szCs w:val="28"/>
          <w:lang w:eastAsia="zh-CN"/>
        </w:rPr>
      </w:pPr>
    </w:p>
    <w:p w14:paraId="47E27218">
      <w:pPr>
        <w:pStyle w:val="2"/>
        <w:rPr>
          <w:rFonts w:hint="eastAsia" w:ascii="仿宋" w:hAnsi="仿宋" w:eastAsia="仿宋" w:cs="楷体_GB2312"/>
          <w:color w:val="000000"/>
          <w:sz w:val="28"/>
          <w:szCs w:val="28"/>
          <w:lang w:eastAsia="zh-CN"/>
        </w:rPr>
      </w:pPr>
    </w:p>
    <w:p w14:paraId="148A8355">
      <w:pPr>
        <w:rPr>
          <w:rFonts w:hint="eastAsia" w:ascii="仿宋" w:hAnsi="仿宋" w:eastAsia="仿宋" w:cs="楷体_GB2312"/>
          <w:color w:val="000000"/>
          <w:sz w:val="28"/>
          <w:szCs w:val="28"/>
          <w:lang w:eastAsia="zh-CN"/>
        </w:rPr>
      </w:pPr>
    </w:p>
    <w:p w14:paraId="3220922D">
      <w:pPr>
        <w:pStyle w:val="2"/>
        <w:rPr>
          <w:rFonts w:hint="eastAsia" w:ascii="仿宋" w:hAnsi="仿宋" w:eastAsia="仿宋" w:cs="楷体_GB2312"/>
          <w:color w:val="000000"/>
          <w:sz w:val="28"/>
          <w:szCs w:val="28"/>
          <w:lang w:eastAsia="zh-CN"/>
        </w:rPr>
      </w:pPr>
    </w:p>
    <w:p w14:paraId="74A51E43">
      <w:pPr>
        <w:rPr>
          <w:rFonts w:hint="eastAsia" w:ascii="仿宋" w:hAnsi="仿宋" w:eastAsia="仿宋" w:cs="楷体_GB2312"/>
          <w:color w:val="000000"/>
          <w:sz w:val="28"/>
          <w:szCs w:val="28"/>
          <w:lang w:eastAsia="zh-CN"/>
        </w:rPr>
      </w:pPr>
    </w:p>
    <w:p w14:paraId="754622B5">
      <w:pPr>
        <w:rPr>
          <w:rFonts w:hint="eastAsia" w:ascii="仿宋" w:hAnsi="仿宋" w:eastAsia="仿宋" w:cs="楷体_GB2312"/>
          <w:color w:val="000000"/>
          <w:sz w:val="28"/>
          <w:szCs w:val="28"/>
          <w:lang w:eastAsia="zh-CN"/>
        </w:rPr>
      </w:pPr>
    </w:p>
    <w:p w14:paraId="32C77668">
      <w:pPr>
        <w:pStyle w:val="2"/>
        <w:rPr>
          <w:rFonts w:hint="eastAsia" w:ascii="仿宋" w:hAnsi="仿宋" w:eastAsia="仿宋" w:cs="楷体_GB2312"/>
          <w:color w:val="000000"/>
          <w:sz w:val="28"/>
          <w:szCs w:val="28"/>
          <w:lang w:eastAsia="zh-CN"/>
        </w:rPr>
      </w:pPr>
    </w:p>
    <w:p w14:paraId="60C4265B">
      <w:pPr>
        <w:rPr>
          <w:rFonts w:hint="eastAsia"/>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煤矸石烧结空心砖、煤矸石烧结多孔砖（</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0F4DD82C">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煤矸石烧结空心砖、煤矸石烧结多孔砖（</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yZmE0MDEzZDkxNzNkY2Q2ZTMzNzA1ZjQ2NmViYWU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223D56"/>
    <w:rsid w:val="025B2DC4"/>
    <w:rsid w:val="026223A4"/>
    <w:rsid w:val="02FA79DE"/>
    <w:rsid w:val="03092820"/>
    <w:rsid w:val="037C1244"/>
    <w:rsid w:val="038C592B"/>
    <w:rsid w:val="03AE456B"/>
    <w:rsid w:val="03B379CE"/>
    <w:rsid w:val="03E424F8"/>
    <w:rsid w:val="03FF434E"/>
    <w:rsid w:val="040D3FBD"/>
    <w:rsid w:val="04134860"/>
    <w:rsid w:val="04166958"/>
    <w:rsid w:val="04BC223F"/>
    <w:rsid w:val="04DB3660"/>
    <w:rsid w:val="050D2A9B"/>
    <w:rsid w:val="05393890"/>
    <w:rsid w:val="054364BD"/>
    <w:rsid w:val="055661F0"/>
    <w:rsid w:val="05AD7DDA"/>
    <w:rsid w:val="05D435B9"/>
    <w:rsid w:val="061B2F96"/>
    <w:rsid w:val="06436049"/>
    <w:rsid w:val="06886587"/>
    <w:rsid w:val="06A31941"/>
    <w:rsid w:val="06D80E87"/>
    <w:rsid w:val="06DD649D"/>
    <w:rsid w:val="073F2CB4"/>
    <w:rsid w:val="07417E9B"/>
    <w:rsid w:val="07944DAE"/>
    <w:rsid w:val="07A81B10"/>
    <w:rsid w:val="07AB20F7"/>
    <w:rsid w:val="07BD1061"/>
    <w:rsid w:val="07D6456B"/>
    <w:rsid w:val="07EC2E3C"/>
    <w:rsid w:val="07FC224D"/>
    <w:rsid w:val="080F2C02"/>
    <w:rsid w:val="08204893"/>
    <w:rsid w:val="0829087A"/>
    <w:rsid w:val="08444A26"/>
    <w:rsid w:val="0878022B"/>
    <w:rsid w:val="08FD2E27"/>
    <w:rsid w:val="09054DD3"/>
    <w:rsid w:val="090E293E"/>
    <w:rsid w:val="0992531D"/>
    <w:rsid w:val="09E0077E"/>
    <w:rsid w:val="0A187F18"/>
    <w:rsid w:val="0A747118"/>
    <w:rsid w:val="0A770227"/>
    <w:rsid w:val="0A8A693C"/>
    <w:rsid w:val="0B6727D9"/>
    <w:rsid w:val="0B7005D5"/>
    <w:rsid w:val="0B9E444D"/>
    <w:rsid w:val="0BCA2B82"/>
    <w:rsid w:val="0C2A5CE1"/>
    <w:rsid w:val="0C7D0506"/>
    <w:rsid w:val="0C917B0E"/>
    <w:rsid w:val="0CA4400B"/>
    <w:rsid w:val="0D1D75F3"/>
    <w:rsid w:val="0D4E6655"/>
    <w:rsid w:val="0DC363ED"/>
    <w:rsid w:val="0E1E7AC7"/>
    <w:rsid w:val="0E5C239D"/>
    <w:rsid w:val="0E8511E4"/>
    <w:rsid w:val="0E975183"/>
    <w:rsid w:val="0F0C5B71"/>
    <w:rsid w:val="0F130CAE"/>
    <w:rsid w:val="0F36499C"/>
    <w:rsid w:val="0F417BF9"/>
    <w:rsid w:val="0F9B0CA3"/>
    <w:rsid w:val="0FB57FB7"/>
    <w:rsid w:val="10371EDE"/>
    <w:rsid w:val="106A2B50"/>
    <w:rsid w:val="10BD35C7"/>
    <w:rsid w:val="10F62635"/>
    <w:rsid w:val="11146F5F"/>
    <w:rsid w:val="115D6403"/>
    <w:rsid w:val="11823EC9"/>
    <w:rsid w:val="11C37223"/>
    <w:rsid w:val="121865DB"/>
    <w:rsid w:val="124A70DD"/>
    <w:rsid w:val="124B4C03"/>
    <w:rsid w:val="12563718"/>
    <w:rsid w:val="12747CB6"/>
    <w:rsid w:val="12B64F8D"/>
    <w:rsid w:val="12C66037"/>
    <w:rsid w:val="131840D7"/>
    <w:rsid w:val="137D0DEC"/>
    <w:rsid w:val="13A75E69"/>
    <w:rsid w:val="13B452DE"/>
    <w:rsid w:val="13CC58CF"/>
    <w:rsid w:val="142851FC"/>
    <w:rsid w:val="142E2F90"/>
    <w:rsid w:val="143E4A1F"/>
    <w:rsid w:val="146E010D"/>
    <w:rsid w:val="14E31122"/>
    <w:rsid w:val="15A32D3A"/>
    <w:rsid w:val="15D87285"/>
    <w:rsid w:val="15F1161D"/>
    <w:rsid w:val="162A14E3"/>
    <w:rsid w:val="167F6DC6"/>
    <w:rsid w:val="16A11295"/>
    <w:rsid w:val="16E12CF7"/>
    <w:rsid w:val="16E96798"/>
    <w:rsid w:val="172779EC"/>
    <w:rsid w:val="173D7210"/>
    <w:rsid w:val="17AC1CA0"/>
    <w:rsid w:val="17D35D21"/>
    <w:rsid w:val="181276B9"/>
    <w:rsid w:val="182932F0"/>
    <w:rsid w:val="183270B7"/>
    <w:rsid w:val="18423519"/>
    <w:rsid w:val="18626802"/>
    <w:rsid w:val="18FF5677"/>
    <w:rsid w:val="1903089F"/>
    <w:rsid w:val="19185113"/>
    <w:rsid w:val="19516FA3"/>
    <w:rsid w:val="198C6C4C"/>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4F1A4B"/>
    <w:rsid w:val="1DC169F2"/>
    <w:rsid w:val="1DC20D95"/>
    <w:rsid w:val="1DDE4B7D"/>
    <w:rsid w:val="1E175112"/>
    <w:rsid w:val="1E205195"/>
    <w:rsid w:val="1E7352C5"/>
    <w:rsid w:val="1EA01E32"/>
    <w:rsid w:val="1EA72A03"/>
    <w:rsid w:val="1EEB2F6D"/>
    <w:rsid w:val="1F933745"/>
    <w:rsid w:val="1FB459B4"/>
    <w:rsid w:val="1FD13B98"/>
    <w:rsid w:val="1FDE70B6"/>
    <w:rsid w:val="20366406"/>
    <w:rsid w:val="20505621"/>
    <w:rsid w:val="20576F06"/>
    <w:rsid w:val="20B00A53"/>
    <w:rsid w:val="20B322F1"/>
    <w:rsid w:val="20C52024"/>
    <w:rsid w:val="20DB53A4"/>
    <w:rsid w:val="20F51A7A"/>
    <w:rsid w:val="2117534C"/>
    <w:rsid w:val="2127683B"/>
    <w:rsid w:val="212F6434"/>
    <w:rsid w:val="2167282F"/>
    <w:rsid w:val="21823A71"/>
    <w:rsid w:val="21F901D7"/>
    <w:rsid w:val="21FB6297"/>
    <w:rsid w:val="22806203"/>
    <w:rsid w:val="239B0E1A"/>
    <w:rsid w:val="23D83E1C"/>
    <w:rsid w:val="241E5CD3"/>
    <w:rsid w:val="243E3700"/>
    <w:rsid w:val="24457704"/>
    <w:rsid w:val="24653902"/>
    <w:rsid w:val="249B7324"/>
    <w:rsid w:val="24C30629"/>
    <w:rsid w:val="24D52712"/>
    <w:rsid w:val="250E47E7"/>
    <w:rsid w:val="2524556B"/>
    <w:rsid w:val="25476B1B"/>
    <w:rsid w:val="25602CE1"/>
    <w:rsid w:val="257B7155"/>
    <w:rsid w:val="25A91F14"/>
    <w:rsid w:val="25C32FD6"/>
    <w:rsid w:val="25DD15C5"/>
    <w:rsid w:val="25E66CC5"/>
    <w:rsid w:val="265545F0"/>
    <w:rsid w:val="267E514F"/>
    <w:rsid w:val="26802C75"/>
    <w:rsid w:val="26C30DB4"/>
    <w:rsid w:val="26CD1C32"/>
    <w:rsid w:val="27653C19"/>
    <w:rsid w:val="27AA0826"/>
    <w:rsid w:val="27F33914"/>
    <w:rsid w:val="28341F69"/>
    <w:rsid w:val="28520641"/>
    <w:rsid w:val="289C7B0E"/>
    <w:rsid w:val="28D3610D"/>
    <w:rsid w:val="29B91531"/>
    <w:rsid w:val="29BF55E6"/>
    <w:rsid w:val="29E7300B"/>
    <w:rsid w:val="2A0B6CFA"/>
    <w:rsid w:val="2B081AFA"/>
    <w:rsid w:val="2B0B655A"/>
    <w:rsid w:val="2B4F2C16"/>
    <w:rsid w:val="2B836D64"/>
    <w:rsid w:val="2B9E5EDC"/>
    <w:rsid w:val="2BAE3DE1"/>
    <w:rsid w:val="2BB67D92"/>
    <w:rsid w:val="2C3D33B6"/>
    <w:rsid w:val="2C905755"/>
    <w:rsid w:val="2CBE44F7"/>
    <w:rsid w:val="2CDC497D"/>
    <w:rsid w:val="2D8A262B"/>
    <w:rsid w:val="2DEA7700"/>
    <w:rsid w:val="2E1343CF"/>
    <w:rsid w:val="2ED00512"/>
    <w:rsid w:val="2EDB1BAF"/>
    <w:rsid w:val="2EF44200"/>
    <w:rsid w:val="2F792957"/>
    <w:rsid w:val="2F8A6913"/>
    <w:rsid w:val="2FCF07C9"/>
    <w:rsid w:val="2FE247DD"/>
    <w:rsid w:val="305667F5"/>
    <w:rsid w:val="30C85944"/>
    <w:rsid w:val="30D51E0F"/>
    <w:rsid w:val="30E738F1"/>
    <w:rsid w:val="310438EA"/>
    <w:rsid w:val="310D5820"/>
    <w:rsid w:val="31172428"/>
    <w:rsid w:val="314A1D01"/>
    <w:rsid w:val="315947EF"/>
    <w:rsid w:val="317A6513"/>
    <w:rsid w:val="320C360F"/>
    <w:rsid w:val="323668DE"/>
    <w:rsid w:val="3249602F"/>
    <w:rsid w:val="325925CC"/>
    <w:rsid w:val="32E17034"/>
    <w:rsid w:val="333A41AC"/>
    <w:rsid w:val="33685601"/>
    <w:rsid w:val="33BC72B7"/>
    <w:rsid w:val="342D1CB8"/>
    <w:rsid w:val="3431735D"/>
    <w:rsid w:val="35074561"/>
    <w:rsid w:val="350F2F83"/>
    <w:rsid w:val="351153E0"/>
    <w:rsid w:val="35186507"/>
    <w:rsid w:val="35633E8E"/>
    <w:rsid w:val="35B91D00"/>
    <w:rsid w:val="35E825E5"/>
    <w:rsid w:val="36280C33"/>
    <w:rsid w:val="364C336E"/>
    <w:rsid w:val="36951773"/>
    <w:rsid w:val="36A54032"/>
    <w:rsid w:val="36DE2889"/>
    <w:rsid w:val="36E56B24"/>
    <w:rsid w:val="37074CED"/>
    <w:rsid w:val="37C04013"/>
    <w:rsid w:val="37C52BDE"/>
    <w:rsid w:val="37DF20DE"/>
    <w:rsid w:val="37F126F4"/>
    <w:rsid w:val="3802658C"/>
    <w:rsid w:val="38060B00"/>
    <w:rsid w:val="38122DB0"/>
    <w:rsid w:val="389D426B"/>
    <w:rsid w:val="38A449CC"/>
    <w:rsid w:val="38A71B2F"/>
    <w:rsid w:val="38CE232F"/>
    <w:rsid w:val="39184F8F"/>
    <w:rsid w:val="39557F91"/>
    <w:rsid w:val="395A11E0"/>
    <w:rsid w:val="39BB7FD9"/>
    <w:rsid w:val="39E311B9"/>
    <w:rsid w:val="39E60BE9"/>
    <w:rsid w:val="3A663AD8"/>
    <w:rsid w:val="3A6C4696"/>
    <w:rsid w:val="3B5B73B5"/>
    <w:rsid w:val="3B602A9D"/>
    <w:rsid w:val="3B985F13"/>
    <w:rsid w:val="3BA1126C"/>
    <w:rsid w:val="3BC00367"/>
    <w:rsid w:val="3BDA29D0"/>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8182B"/>
    <w:rsid w:val="3ECD30E8"/>
    <w:rsid w:val="3F06588A"/>
    <w:rsid w:val="3F1625EF"/>
    <w:rsid w:val="3F163D1F"/>
    <w:rsid w:val="3F465FB7"/>
    <w:rsid w:val="3F501EC8"/>
    <w:rsid w:val="3F7D3D9E"/>
    <w:rsid w:val="3F9B5FD2"/>
    <w:rsid w:val="3F9F1F66"/>
    <w:rsid w:val="40016322"/>
    <w:rsid w:val="4055142D"/>
    <w:rsid w:val="40736F4F"/>
    <w:rsid w:val="407707ED"/>
    <w:rsid w:val="408D0011"/>
    <w:rsid w:val="40BC08F6"/>
    <w:rsid w:val="40C9239A"/>
    <w:rsid w:val="40D86396"/>
    <w:rsid w:val="41034ED2"/>
    <w:rsid w:val="414E1B6D"/>
    <w:rsid w:val="41B353C1"/>
    <w:rsid w:val="41DD6D76"/>
    <w:rsid w:val="41E53E7C"/>
    <w:rsid w:val="42004812"/>
    <w:rsid w:val="42034778"/>
    <w:rsid w:val="420A743F"/>
    <w:rsid w:val="423170C2"/>
    <w:rsid w:val="423A41C8"/>
    <w:rsid w:val="423B584A"/>
    <w:rsid w:val="424C5CAA"/>
    <w:rsid w:val="4269685C"/>
    <w:rsid w:val="42B029BC"/>
    <w:rsid w:val="42D04101"/>
    <w:rsid w:val="42F56341"/>
    <w:rsid w:val="43084B71"/>
    <w:rsid w:val="433429C6"/>
    <w:rsid w:val="433724B6"/>
    <w:rsid w:val="434A043B"/>
    <w:rsid w:val="434A21E9"/>
    <w:rsid w:val="4391606A"/>
    <w:rsid w:val="43AA0EDA"/>
    <w:rsid w:val="43B34253"/>
    <w:rsid w:val="43BF7A4E"/>
    <w:rsid w:val="440B34DE"/>
    <w:rsid w:val="444123EF"/>
    <w:rsid w:val="44DA54BF"/>
    <w:rsid w:val="45216F7A"/>
    <w:rsid w:val="457C68A6"/>
    <w:rsid w:val="45AB2CE7"/>
    <w:rsid w:val="460743C1"/>
    <w:rsid w:val="462E7BA0"/>
    <w:rsid w:val="468477C0"/>
    <w:rsid w:val="46B63ECE"/>
    <w:rsid w:val="46C93D6D"/>
    <w:rsid w:val="46E76374"/>
    <w:rsid w:val="475F022D"/>
    <w:rsid w:val="479D5EC7"/>
    <w:rsid w:val="47DD6817"/>
    <w:rsid w:val="4820176A"/>
    <w:rsid w:val="48217291"/>
    <w:rsid w:val="483E7E42"/>
    <w:rsid w:val="487F0B87"/>
    <w:rsid w:val="48B60321"/>
    <w:rsid w:val="49217FAF"/>
    <w:rsid w:val="493556E9"/>
    <w:rsid w:val="496F29A9"/>
    <w:rsid w:val="49C5081B"/>
    <w:rsid w:val="49EB7B56"/>
    <w:rsid w:val="49FA6D70"/>
    <w:rsid w:val="4AB368C6"/>
    <w:rsid w:val="4ACA3C0F"/>
    <w:rsid w:val="4B2D35EC"/>
    <w:rsid w:val="4B5D5F60"/>
    <w:rsid w:val="4B8169C4"/>
    <w:rsid w:val="4BED5E07"/>
    <w:rsid w:val="4C481290"/>
    <w:rsid w:val="4C8F60AE"/>
    <w:rsid w:val="4C96649F"/>
    <w:rsid w:val="4C9A4EF6"/>
    <w:rsid w:val="4CC90623"/>
    <w:rsid w:val="4CCC3C6F"/>
    <w:rsid w:val="4CE2114F"/>
    <w:rsid w:val="4D0E24D9"/>
    <w:rsid w:val="4D5E3823"/>
    <w:rsid w:val="4D693F63"/>
    <w:rsid w:val="4D8E465E"/>
    <w:rsid w:val="4D95296E"/>
    <w:rsid w:val="4DC64B62"/>
    <w:rsid w:val="4DEA43D3"/>
    <w:rsid w:val="4E2F0959"/>
    <w:rsid w:val="4E593963"/>
    <w:rsid w:val="4F8847C5"/>
    <w:rsid w:val="4F9D5D96"/>
    <w:rsid w:val="4FA62E9D"/>
    <w:rsid w:val="4FF414D6"/>
    <w:rsid w:val="50175B49"/>
    <w:rsid w:val="5023629C"/>
    <w:rsid w:val="50CD2161"/>
    <w:rsid w:val="50EF2622"/>
    <w:rsid w:val="51387B25"/>
    <w:rsid w:val="51457874"/>
    <w:rsid w:val="516C630A"/>
    <w:rsid w:val="51FA302C"/>
    <w:rsid w:val="52151C14"/>
    <w:rsid w:val="523C3645"/>
    <w:rsid w:val="5256749B"/>
    <w:rsid w:val="52C06024"/>
    <w:rsid w:val="52D84DB4"/>
    <w:rsid w:val="52F537F4"/>
    <w:rsid w:val="53230361"/>
    <w:rsid w:val="535E75EB"/>
    <w:rsid w:val="53DE2F6F"/>
    <w:rsid w:val="54520EFE"/>
    <w:rsid w:val="54ED50CA"/>
    <w:rsid w:val="54F5600C"/>
    <w:rsid w:val="552705DC"/>
    <w:rsid w:val="555F665A"/>
    <w:rsid w:val="55747599"/>
    <w:rsid w:val="55B41744"/>
    <w:rsid w:val="55D818D6"/>
    <w:rsid w:val="561F350F"/>
    <w:rsid w:val="568D1184"/>
    <w:rsid w:val="569F0646"/>
    <w:rsid w:val="56AA48D3"/>
    <w:rsid w:val="56D95906"/>
    <w:rsid w:val="570404A9"/>
    <w:rsid w:val="57700B76"/>
    <w:rsid w:val="57B36157"/>
    <w:rsid w:val="57B53A3B"/>
    <w:rsid w:val="57D034A5"/>
    <w:rsid w:val="57D10D86"/>
    <w:rsid w:val="57FC72DE"/>
    <w:rsid w:val="588500FC"/>
    <w:rsid w:val="58AC2446"/>
    <w:rsid w:val="58C3434A"/>
    <w:rsid w:val="593908DE"/>
    <w:rsid w:val="59611BE3"/>
    <w:rsid w:val="5991071A"/>
    <w:rsid w:val="5A2D4D8A"/>
    <w:rsid w:val="5B0311A3"/>
    <w:rsid w:val="5B08785E"/>
    <w:rsid w:val="5B1E24A6"/>
    <w:rsid w:val="5B525C87"/>
    <w:rsid w:val="5B6854AA"/>
    <w:rsid w:val="5BE24D30"/>
    <w:rsid w:val="5C961BA3"/>
    <w:rsid w:val="5D3C4210"/>
    <w:rsid w:val="5D91303F"/>
    <w:rsid w:val="5DDB1F64"/>
    <w:rsid w:val="5E0C4813"/>
    <w:rsid w:val="5E1A798E"/>
    <w:rsid w:val="5E394EDC"/>
    <w:rsid w:val="5E6006BB"/>
    <w:rsid w:val="5EFA28BD"/>
    <w:rsid w:val="5FBE38EB"/>
    <w:rsid w:val="5FC1162D"/>
    <w:rsid w:val="5FF612D7"/>
    <w:rsid w:val="60243B12"/>
    <w:rsid w:val="60566219"/>
    <w:rsid w:val="60591866"/>
    <w:rsid w:val="60690D6A"/>
    <w:rsid w:val="606F1089"/>
    <w:rsid w:val="60C3607A"/>
    <w:rsid w:val="60F11A9E"/>
    <w:rsid w:val="61630BEE"/>
    <w:rsid w:val="619D1D0C"/>
    <w:rsid w:val="62454F43"/>
    <w:rsid w:val="627152C4"/>
    <w:rsid w:val="627E55B4"/>
    <w:rsid w:val="62966DA1"/>
    <w:rsid w:val="62A50D92"/>
    <w:rsid w:val="62E8291D"/>
    <w:rsid w:val="6315416A"/>
    <w:rsid w:val="6365391E"/>
    <w:rsid w:val="638135AD"/>
    <w:rsid w:val="63940864"/>
    <w:rsid w:val="63BF40D6"/>
    <w:rsid w:val="63D7141F"/>
    <w:rsid w:val="63DF301F"/>
    <w:rsid w:val="642D3DB1"/>
    <w:rsid w:val="64525A76"/>
    <w:rsid w:val="64A05CB5"/>
    <w:rsid w:val="64A4088B"/>
    <w:rsid w:val="651F307E"/>
    <w:rsid w:val="653F54CE"/>
    <w:rsid w:val="656F73E0"/>
    <w:rsid w:val="65E240AB"/>
    <w:rsid w:val="661E3335"/>
    <w:rsid w:val="6639016F"/>
    <w:rsid w:val="66F75934"/>
    <w:rsid w:val="67112E9A"/>
    <w:rsid w:val="6723497B"/>
    <w:rsid w:val="6793565D"/>
    <w:rsid w:val="68692862"/>
    <w:rsid w:val="688C6539"/>
    <w:rsid w:val="68A11FFC"/>
    <w:rsid w:val="68A91FA3"/>
    <w:rsid w:val="694C1F68"/>
    <w:rsid w:val="696C260A"/>
    <w:rsid w:val="69886D18"/>
    <w:rsid w:val="69EB56CF"/>
    <w:rsid w:val="6A8671F8"/>
    <w:rsid w:val="6AA47B81"/>
    <w:rsid w:val="6ADE3BD2"/>
    <w:rsid w:val="6AF075F9"/>
    <w:rsid w:val="6B1D005F"/>
    <w:rsid w:val="6B9E0AD0"/>
    <w:rsid w:val="6C5E31B7"/>
    <w:rsid w:val="6C6742D2"/>
    <w:rsid w:val="6C8934D3"/>
    <w:rsid w:val="6D2C5D88"/>
    <w:rsid w:val="6D7F476F"/>
    <w:rsid w:val="6D901B33"/>
    <w:rsid w:val="6DD67814"/>
    <w:rsid w:val="6E301E58"/>
    <w:rsid w:val="6E3902CA"/>
    <w:rsid w:val="6E641B01"/>
    <w:rsid w:val="6E6A7222"/>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752277"/>
    <w:rsid w:val="71C34D91"/>
    <w:rsid w:val="71D15516"/>
    <w:rsid w:val="72001B41"/>
    <w:rsid w:val="72271DFF"/>
    <w:rsid w:val="724807AD"/>
    <w:rsid w:val="730833A3"/>
    <w:rsid w:val="73245D03"/>
    <w:rsid w:val="73CA5F58"/>
    <w:rsid w:val="74035919"/>
    <w:rsid w:val="741C69DA"/>
    <w:rsid w:val="7427135A"/>
    <w:rsid w:val="74404DBF"/>
    <w:rsid w:val="74424693"/>
    <w:rsid w:val="74642C1B"/>
    <w:rsid w:val="74C82D26"/>
    <w:rsid w:val="74FD680C"/>
    <w:rsid w:val="74FE35BE"/>
    <w:rsid w:val="750A2CD7"/>
    <w:rsid w:val="754C32EF"/>
    <w:rsid w:val="757A4300"/>
    <w:rsid w:val="75B0717F"/>
    <w:rsid w:val="75B70374"/>
    <w:rsid w:val="75BF1D13"/>
    <w:rsid w:val="75D67789"/>
    <w:rsid w:val="765B7D5B"/>
    <w:rsid w:val="76674885"/>
    <w:rsid w:val="76751CF6"/>
    <w:rsid w:val="767E1BCE"/>
    <w:rsid w:val="77057BFA"/>
    <w:rsid w:val="776B3F01"/>
    <w:rsid w:val="77D81C9F"/>
    <w:rsid w:val="7860333A"/>
    <w:rsid w:val="78964FAD"/>
    <w:rsid w:val="78DB5FB3"/>
    <w:rsid w:val="793D7EC7"/>
    <w:rsid w:val="7A0B2F10"/>
    <w:rsid w:val="7A49604F"/>
    <w:rsid w:val="7A902877"/>
    <w:rsid w:val="7AC1762E"/>
    <w:rsid w:val="7B1B5C3E"/>
    <w:rsid w:val="7B9F79EB"/>
    <w:rsid w:val="7BDE0D77"/>
    <w:rsid w:val="7C0C5586"/>
    <w:rsid w:val="7C23124E"/>
    <w:rsid w:val="7C324FED"/>
    <w:rsid w:val="7C3B4483"/>
    <w:rsid w:val="7C4A4A2C"/>
    <w:rsid w:val="7C535880"/>
    <w:rsid w:val="7C7C270C"/>
    <w:rsid w:val="7CB0213F"/>
    <w:rsid w:val="7CC540B3"/>
    <w:rsid w:val="7CC55E61"/>
    <w:rsid w:val="7CCF0A8E"/>
    <w:rsid w:val="7D0F532E"/>
    <w:rsid w:val="7D715FE9"/>
    <w:rsid w:val="7D9832A3"/>
    <w:rsid w:val="7E626696"/>
    <w:rsid w:val="7E6671D0"/>
    <w:rsid w:val="7EC81C39"/>
    <w:rsid w:val="7F056578"/>
    <w:rsid w:val="7F121106"/>
    <w:rsid w:val="7F45772D"/>
    <w:rsid w:val="7F480FCB"/>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3644</Words>
  <Characters>4027</Characters>
  <Lines>32</Lines>
  <Paragraphs>9</Paragraphs>
  <TotalTime>104</TotalTime>
  <ScaleCrop>false</ScaleCrop>
  <LinksUpToDate>false</LinksUpToDate>
  <CharactersWithSpaces>4842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2024-10-09T09:32:28Z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7256036066C1491892F9CB4EE4604E0D_13</vt:lpwstr>
  </property>
</Properties>
</file>