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spacing w:before="0" w:after="0" w:line="360" w:lineRule="auto"/>
        <w:jc w:val="center"/>
      </w:pPr>
      <w:r>
        <w:rPr>
          <w:rFonts w:ascii="宋体" w:hAnsi="宋体" w:eastAsia="宋体" w:cs="宋体"/>
          <w:b/>
          <w:color w:val="000000"/>
          <w:sz w:val="44"/>
        </w:rPr>
        <w:t>淮南市能源数据中心及数字经济万创园项目施工总承包一标段劳务分包</w:t>
      </w:r>
    </w:p>
    <w:p>
      <w:pPr>
        <w:snapToGrid/>
        <w:spacing w:before="0" w:after="0" w:line="360" w:lineRule="auto"/>
        <w:jc w:val="center"/>
      </w:pPr>
      <w:r>
        <w:rPr>
          <w:rFonts w:ascii="楷体" w:hAnsi="楷体" w:eastAsia="楷体" w:cs="楷体"/>
          <w:b/>
          <w:color w:val="000000"/>
          <w:sz w:val="32"/>
        </w:rPr>
        <w:t> </w:t>
      </w:r>
    </w:p>
    <w:p>
      <w:pPr>
        <w:snapToGrid/>
        <w:spacing w:before="0" w:after="0" w:line="360" w:lineRule="auto"/>
        <w:jc w:val="center"/>
      </w:pPr>
      <w:r>
        <w:rPr>
          <w:rFonts w:ascii="楷体" w:hAnsi="楷体" w:eastAsia="楷体" w:cs="楷体"/>
          <w:b/>
          <w:color w:val="000000"/>
          <w:sz w:val="32"/>
        </w:rPr>
        <w:t> </w:t>
      </w:r>
    </w:p>
    <w:p>
      <w:pPr>
        <w:snapToGrid/>
        <w:spacing w:before="0" w:after="0" w:line="360" w:lineRule="auto"/>
        <w:jc w:val="center"/>
      </w:pPr>
      <w:r>
        <w:rPr>
          <w:rFonts w:ascii="楷体" w:hAnsi="楷体" w:eastAsia="楷体" w:cs="楷体"/>
          <w:b/>
          <w:color w:val="000000"/>
          <w:sz w:val="32"/>
        </w:rPr>
        <w:t> </w:t>
      </w:r>
    </w:p>
    <w:p>
      <w:pPr>
        <w:snapToGrid/>
        <w:spacing w:before="0" w:after="0" w:line="360" w:lineRule="auto"/>
        <w:jc w:val="center"/>
      </w:pPr>
      <w:r>
        <w:rPr>
          <w:rFonts w:ascii="楷体" w:hAnsi="楷体" w:eastAsia="楷体" w:cs="楷体"/>
          <w:b/>
          <w:color w:val="000000"/>
          <w:sz w:val="32"/>
        </w:rPr>
        <w:t> </w:t>
      </w:r>
    </w:p>
    <w:p>
      <w:pPr>
        <w:snapToGrid/>
        <w:spacing w:before="0" w:after="0" w:line="360" w:lineRule="auto"/>
        <w:jc w:val="center"/>
      </w:pPr>
      <w:r>
        <w:rPr>
          <w:rFonts w:ascii="楷体" w:hAnsi="楷体" w:eastAsia="楷体" w:cs="楷体"/>
          <w:b/>
          <w:color w:val="000000"/>
          <w:sz w:val="72"/>
        </w:rPr>
        <w:t> </w:t>
      </w:r>
    </w:p>
    <w:p>
      <w:pPr>
        <w:snapToGrid/>
        <w:spacing w:before="0" w:after="0" w:line="360" w:lineRule="auto"/>
        <w:jc w:val="center"/>
      </w:pPr>
      <w:r>
        <w:rPr>
          <w:rFonts w:ascii="宋体" w:hAnsi="宋体" w:eastAsia="宋体" w:cs="宋体"/>
          <w:b/>
          <w:color w:val="000000"/>
          <w:sz w:val="72"/>
        </w:rPr>
        <w:t>招标文件</w:t>
      </w:r>
    </w:p>
    <w:p>
      <w:pPr>
        <w:snapToGrid/>
        <w:spacing w:before="0" w:after="0" w:line="360" w:lineRule="auto"/>
        <w:jc w:val="center"/>
      </w:pPr>
      <w:r>
        <w:rPr>
          <w:rFonts w:ascii="楷体" w:hAnsi="楷体" w:eastAsia="楷体" w:cs="楷体"/>
          <w:b/>
          <w:color w:val="000000"/>
          <w:sz w:val="32"/>
        </w:rPr>
        <w:t> </w:t>
      </w:r>
    </w:p>
    <w:p>
      <w:pPr>
        <w:snapToGrid/>
        <w:spacing w:before="0" w:after="0" w:line="360" w:lineRule="auto"/>
        <w:jc w:val="center"/>
      </w:pPr>
      <w:r>
        <w:rPr>
          <w:rFonts w:ascii="楷体" w:hAnsi="楷体" w:eastAsia="楷体" w:cs="楷体"/>
          <w:b/>
          <w:color w:val="000000"/>
          <w:sz w:val="32"/>
        </w:rPr>
        <w:t> </w:t>
      </w:r>
    </w:p>
    <w:p>
      <w:pPr>
        <w:snapToGrid/>
        <w:spacing w:before="0" w:after="0" w:line="360" w:lineRule="auto"/>
        <w:jc w:val="center"/>
      </w:pPr>
      <w:r>
        <w:rPr>
          <w:rFonts w:ascii="楷体" w:hAnsi="楷体" w:eastAsia="楷体" w:cs="楷体"/>
          <w:b/>
          <w:color w:val="000000"/>
          <w:sz w:val="32"/>
        </w:rPr>
        <w:t> </w:t>
      </w:r>
    </w:p>
    <w:p>
      <w:pPr>
        <w:snapToGrid/>
        <w:spacing w:before="0" w:after="0" w:line="360" w:lineRule="auto"/>
        <w:jc w:val="center"/>
      </w:pPr>
      <w:r>
        <w:rPr>
          <w:rFonts w:ascii="楷体" w:hAnsi="楷体" w:eastAsia="楷体" w:cs="楷体"/>
          <w:b/>
          <w:color w:val="000000"/>
          <w:sz w:val="32"/>
        </w:rPr>
        <w:t> </w:t>
      </w:r>
    </w:p>
    <w:p>
      <w:pPr>
        <w:snapToGrid/>
        <w:spacing w:before="0" w:after="0" w:line="360" w:lineRule="auto"/>
        <w:jc w:val="center"/>
      </w:pPr>
      <w:r>
        <w:rPr>
          <w:rFonts w:ascii="楷体" w:hAnsi="楷体" w:eastAsia="楷体" w:cs="楷体"/>
          <w:b/>
          <w:color w:val="000000"/>
          <w:sz w:val="32"/>
        </w:rPr>
        <w:t> </w:t>
      </w:r>
    </w:p>
    <w:p>
      <w:pPr>
        <w:snapToGrid/>
        <w:spacing w:before="0" w:after="0" w:line="360" w:lineRule="auto"/>
        <w:jc w:val="center"/>
      </w:pPr>
      <w:r>
        <w:rPr>
          <w:rFonts w:ascii="楷体" w:hAnsi="楷体" w:eastAsia="楷体" w:cs="楷体"/>
          <w:b/>
          <w:color w:val="000000"/>
          <w:sz w:val="32"/>
        </w:rPr>
        <w:t> </w:t>
      </w:r>
    </w:p>
    <w:p>
      <w:pPr>
        <w:snapToGrid/>
        <w:spacing w:before="0" w:after="0" w:line="360" w:lineRule="auto"/>
        <w:jc w:val="center"/>
      </w:pPr>
      <w:r>
        <w:rPr>
          <w:rFonts w:ascii="宋体" w:hAnsi="宋体" w:eastAsia="宋体" w:cs="宋体"/>
          <w:b/>
          <w:color w:val="000000"/>
          <w:sz w:val="32"/>
        </w:rPr>
        <w:t>招标人：</w:t>
      </w:r>
      <w:r>
        <w:rPr>
          <w:rFonts w:ascii="宋体" w:hAnsi="宋体" w:eastAsia="宋体" w:cs="宋体"/>
          <w:b/>
          <w:color w:val="000000"/>
          <w:sz w:val="32"/>
          <w:u w:val="single"/>
        </w:rPr>
        <w:t>安徽新集矿山建设工程有限公司</w:t>
      </w:r>
    </w:p>
    <w:p>
      <w:pPr>
        <w:snapToGrid/>
        <w:spacing w:before="0" w:after="0" w:line="400" w:lineRule="exact"/>
        <w:jc w:val="center"/>
      </w:pPr>
      <w:r>
        <w:rPr>
          <w:rFonts w:ascii="宋体" w:hAnsi="宋体" w:eastAsia="宋体" w:cs="宋体"/>
          <w:b/>
          <w:color w:val="000000"/>
          <w:sz w:val="32"/>
        </w:rPr>
        <w:t> </w:t>
      </w:r>
    </w:p>
    <w:p>
      <w:pPr>
        <w:snapToGrid/>
        <w:spacing w:before="0" w:after="0" w:line="400" w:lineRule="exact"/>
        <w:jc w:val="center"/>
      </w:pPr>
      <w:r>
        <w:rPr>
          <w:rFonts w:ascii="'Times New Roman'" w:hAnsi="'Times New Roman'" w:eastAsia="'Times New Roman'" w:cs="'Times New Roman'"/>
          <w:b/>
          <w:color w:val="000000"/>
          <w:sz w:val="32"/>
        </w:rPr>
        <w:t> </w:t>
      </w:r>
    </w:p>
    <w:p>
      <w:pPr>
        <w:snapToGrid/>
        <w:spacing w:before="0" w:after="0" w:line="400" w:lineRule="exact"/>
        <w:jc w:val="center"/>
      </w:pPr>
      <w:r>
        <w:rPr>
          <w:rFonts w:ascii="'Times New Roman'" w:hAnsi="'Times New Roman'" w:eastAsia="'Times New Roman'" w:cs="'Times New Roman'"/>
          <w:b/>
          <w:color w:val="000000"/>
          <w:sz w:val="32"/>
        </w:rPr>
        <w:t> </w:t>
      </w:r>
    </w:p>
    <w:p>
      <w:pPr>
        <w:snapToGrid/>
        <w:spacing w:before="0" w:after="0" w:line="400" w:lineRule="exact"/>
        <w:jc w:val="center"/>
      </w:pPr>
      <w:r>
        <w:rPr>
          <w:rFonts w:ascii="宋体" w:hAnsi="宋体" w:eastAsia="宋体" w:cs="宋体"/>
          <w:b/>
          <w:color w:val="000000"/>
          <w:sz w:val="32"/>
        </w:rPr>
        <w:t>二〇二四年</w:t>
      </w:r>
      <w:r>
        <w:rPr>
          <w:rFonts w:hint="eastAsia" w:ascii="宋体" w:hAnsi="宋体" w:eastAsia="宋体" w:cs="宋体"/>
          <w:b/>
          <w:color w:val="000000"/>
          <w:sz w:val="32"/>
          <w:lang w:val="en-US" w:eastAsia="zh-CN"/>
        </w:rPr>
        <w:t>三</w:t>
      </w:r>
      <w:r>
        <w:rPr>
          <w:rFonts w:ascii="宋体" w:hAnsi="宋体" w:eastAsia="宋体" w:cs="宋体"/>
          <w:b/>
          <w:color w:val="000000"/>
          <w:sz w:val="32"/>
        </w:rPr>
        <w:t>月</w:t>
      </w:r>
      <w:r>
        <w:rPr>
          <w:rFonts w:hint="eastAsia" w:ascii="宋体" w:hAnsi="宋体" w:eastAsia="宋体" w:cs="宋体"/>
          <w:b/>
          <w:color w:val="000000"/>
          <w:sz w:val="32"/>
          <w:lang w:val="en-US" w:eastAsia="zh-CN"/>
        </w:rPr>
        <w:t>十一</w:t>
      </w:r>
      <w:r>
        <w:rPr>
          <w:rFonts w:ascii="宋体" w:hAnsi="宋体" w:eastAsia="宋体" w:cs="宋体"/>
          <w:b/>
          <w:color w:val="000000"/>
          <w:sz w:val="32"/>
        </w:rPr>
        <w:t>日</w:t>
      </w:r>
    </w:p>
    <w:p>
      <w:pPr>
        <w:snapToGrid/>
        <w:spacing w:before="0" w:after="0" w:line="400" w:lineRule="exact"/>
        <w:jc w:val="both"/>
      </w:pPr>
      <w:r>
        <w:rPr>
          <w:rFonts w:ascii="'Times New Roman'" w:hAnsi="'Times New Roman'" w:eastAsia="'Times New Roman'" w:cs="'Times New Roman'"/>
          <w:color w:val="000000"/>
          <w:sz w:val="21"/>
        </w:rPr>
        <w:t> </w:t>
      </w:r>
    </w:p>
    <w:p>
      <w:pPr>
        <w:snapToGrid/>
        <w:spacing w:before="0" w:after="0" w:line="600" w:lineRule="exact"/>
        <w:jc w:val="center"/>
      </w:pPr>
      <w:r>
        <w:rPr>
          <w:rFonts w:ascii="宋体" w:hAnsi="宋体" w:eastAsia="宋体" w:cs="宋体"/>
          <w:b/>
          <w:color w:val="000000"/>
          <w:sz w:val="36"/>
        </w:rPr>
        <w:t> </w:t>
      </w:r>
    </w:p>
    <w:p>
      <w:pPr>
        <w:snapToGrid/>
        <w:spacing w:before="0" w:after="0" w:line="600" w:lineRule="exact"/>
        <w:jc w:val="center"/>
      </w:pPr>
      <w:r>
        <w:rPr>
          <w:rFonts w:ascii="宋体" w:hAnsi="宋体" w:eastAsia="宋体" w:cs="宋体"/>
          <w:b/>
          <w:color w:val="000000"/>
          <w:sz w:val="36"/>
        </w:rPr>
        <w:t> </w:t>
      </w:r>
    </w:p>
    <w:p>
      <w:pPr>
        <w:snapToGrid/>
        <w:spacing w:before="0" w:after="0" w:line="600" w:lineRule="exact"/>
        <w:jc w:val="center"/>
      </w:pPr>
      <w:r>
        <w:rPr>
          <w:rFonts w:ascii="宋体" w:hAnsi="宋体" w:eastAsia="宋体" w:cs="宋体"/>
          <w:b/>
          <w:color w:val="000000"/>
          <w:sz w:val="36"/>
        </w:rPr>
        <w:t>一、招标原则</w:t>
      </w:r>
    </w:p>
    <w:p>
      <w:pPr>
        <w:snapToGrid/>
        <w:spacing w:before="0" w:after="0" w:line="400" w:lineRule="exact"/>
        <w:ind w:firstLine="442" w:firstLineChars="200"/>
        <w:jc w:val="both"/>
      </w:pPr>
      <w:r>
        <w:rPr>
          <w:rFonts w:ascii="宋体" w:hAnsi="宋体" w:eastAsia="宋体" w:cs="宋体"/>
          <w:b/>
          <w:color w:val="000000"/>
        </w:rPr>
        <w:t>第一条拟定投标人原则</w:t>
      </w:r>
    </w:p>
    <w:p>
      <w:pPr>
        <w:snapToGrid/>
        <w:spacing w:before="0" w:after="0" w:line="400" w:lineRule="exact"/>
        <w:jc w:val="both"/>
        <w:rPr>
          <w:rFonts w:ascii="宋体" w:hAnsi="宋体" w:eastAsia="宋体" w:cs="宋体"/>
          <w:color w:val="000000"/>
        </w:rPr>
      </w:pPr>
      <w:r>
        <w:rPr>
          <w:rFonts w:ascii="宋体" w:hAnsi="宋体" w:eastAsia="宋体" w:cs="宋体"/>
          <w:color w:val="000000"/>
        </w:rPr>
        <w:t>1.1 本招标为公开招标，有投标意向的劳务或建筑公司需有劳务资质及安全施工许可证。</w:t>
      </w:r>
    </w:p>
    <w:p>
      <w:pPr>
        <w:snapToGrid/>
        <w:spacing w:before="0" w:after="0" w:line="400" w:lineRule="exact"/>
        <w:jc w:val="both"/>
        <w:rPr>
          <w:rFonts w:ascii="宋体" w:hAnsi="宋体" w:eastAsia="宋体" w:cs="宋体"/>
          <w:color w:val="000000"/>
        </w:rPr>
      </w:pPr>
      <w:r>
        <w:rPr>
          <w:rFonts w:ascii="宋体" w:hAnsi="宋体" w:eastAsia="宋体" w:cs="宋体"/>
          <w:color w:val="000000"/>
        </w:rPr>
        <w:t xml:space="preserve"> 1.2  禁止投标要求</w:t>
      </w:r>
    </w:p>
    <w:p>
      <w:pPr>
        <w:snapToGrid/>
        <w:spacing w:before="0" w:after="0" w:line="360" w:lineRule="auto"/>
        <w:jc w:val="both"/>
      </w:pPr>
      <w:r>
        <w:rPr>
          <w:rFonts w:ascii="宋体" w:hAnsi="宋体" w:eastAsia="宋体" w:cs="宋体"/>
          <w:color w:val="000000"/>
          <w:sz w:val="21"/>
        </w:rPr>
        <w:t>1</w:t>
      </w:r>
      <w:r>
        <w:rPr>
          <w:rFonts w:hint="eastAsia" w:ascii="宋体" w:hAnsi="宋体" w:eastAsia="宋体" w:cs="宋体"/>
          <w:color w:val="000000"/>
          <w:sz w:val="21"/>
        </w:rPr>
        <w:t>）</w:t>
      </w:r>
      <w:r>
        <w:rPr>
          <w:rFonts w:ascii="宋体" w:hAnsi="宋体" w:eastAsia="宋体" w:cs="宋体"/>
          <w:color w:val="000000"/>
          <w:sz w:val="21"/>
        </w:rPr>
        <w:t>被行业监管部门或公共资源交易监管部门记不良行为记录，限制在淮南市或包含淮南市行政区域范围投标且处于有效期内；</w:t>
      </w:r>
    </w:p>
    <w:p>
      <w:pPr>
        <w:snapToGrid/>
        <w:spacing w:before="0" w:after="0" w:line="360" w:lineRule="auto"/>
        <w:jc w:val="both"/>
      </w:pPr>
      <w:r>
        <w:rPr>
          <w:rFonts w:ascii="宋体" w:hAnsi="宋体" w:eastAsia="宋体" w:cs="宋体"/>
          <w:color w:val="000000"/>
          <w:sz w:val="21"/>
        </w:rPr>
        <w:t>2</w:t>
      </w:r>
      <w:r>
        <w:rPr>
          <w:rFonts w:hint="eastAsia" w:ascii="宋体" w:hAnsi="宋体" w:eastAsia="宋体" w:cs="宋体"/>
          <w:color w:val="000000"/>
          <w:sz w:val="21"/>
        </w:rPr>
        <w:t>）</w:t>
      </w:r>
      <w:r>
        <w:rPr>
          <w:rFonts w:ascii="宋体" w:hAnsi="宋体" w:eastAsia="宋体" w:cs="宋体"/>
          <w:color w:val="000000"/>
          <w:sz w:val="21"/>
        </w:rPr>
        <w:t>在最近三年内（自投标截止之日向前追溯 3 年到日，下同）在安徽省境内有重大工程质量事故或重大生产安全事故的（以相关行业主管部门的行政处罚决定或司法机关出具的有关法律文书为准）；</w:t>
      </w:r>
    </w:p>
    <w:p>
      <w:pPr>
        <w:snapToGrid/>
        <w:spacing w:before="0" w:after="0" w:line="360" w:lineRule="auto"/>
        <w:jc w:val="both"/>
      </w:pPr>
      <w:r>
        <w:rPr>
          <w:rFonts w:ascii="宋体" w:hAnsi="宋体" w:eastAsia="宋体" w:cs="宋体"/>
          <w:color w:val="000000"/>
          <w:sz w:val="21"/>
        </w:rPr>
        <w:t>3</w:t>
      </w:r>
      <w:r>
        <w:rPr>
          <w:rFonts w:hint="eastAsia" w:ascii="宋体" w:hAnsi="宋体" w:eastAsia="宋体" w:cs="宋体"/>
          <w:color w:val="000000"/>
          <w:sz w:val="21"/>
        </w:rPr>
        <w:t>）</w:t>
      </w:r>
      <w:r>
        <w:rPr>
          <w:rFonts w:ascii="宋体" w:hAnsi="宋体" w:eastAsia="宋体" w:cs="宋体"/>
          <w:color w:val="000000"/>
          <w:sz w:val="21"/>
        </w:rPr>
        <w:t>被责令停业，暂扣或吊销执照，或吊销资质证书；</w:t>
      </w:r>
    </w:p>
    <w:p>
      <w:pPr>
        <w:snapToGrid/>
        <w:spacing w:before="0" w:after="0" w:line="360" w:lineRule="auto"/>
        <w:jc w:val="both"/>
      </w:pPr>
      <w:r>
        <w:rPr>
          <w:rFonts w:ascii="宋体" w:hAnsi="宋体" w:eastAsia="宋体" w:cs="宋体"/>
          <w:color w:val="000000"/>
          <w:sz w:val="21"/>
        </w:rPr>
        <w:t>4</w:t>
      </w:r>
      <w:r>
        <w:rPr>
          <w:rFonts w:hint="eastAsia" w:ascii="宋体" w:hAnsi="宋体" w:eastAsia="宋体" w:cs="宋体"/>
          <w:color w:val="000000"/>
          <w:sz w:val="21"/>
        </w:rPr>
        <w:t>）</w:t>
      </w:r>
      <w:r>
        <w:rPr>
          <w:rFonts w:ascii="宋体" w:hAnsi="宋体" w:eastAsia="宋体" w:cs="宋体"/>
          <w:color w:val="000000"/>
          <w:sz w:val="21"/>
        </w:rPr>
        <w:t>进入清算程序，或被宣告破产，或其他丧失履约能力的情形；</w:t>
      </w:r>
    </w:p>
    <w:p>
      <w:pPr>
        <w:snapToGrid/>
        <w:spacing w:before="0" w:after="0" w:line="360" w:lineRule="auto"/>
        <w:jc w:val="both"/>
      </w:pPr>
      <w:r>
        <w:rPr>
          <w:rFonts w:ascii="宋体" w:hAnsi="宋体" w:eastAsia="宋体" w:cs="宋体"/>
          <w:color w:val="000000"/>
          <w:sz w:val="21"/>
        </w:rPr>
        <w:t>5</w:t>
      </w:r>
      <w:r>
        <w:rPr>
          <w:rFonts w:hint="eastAsia" w:ascii="宋体" w:hAnsi="宋体" w:eastAsia="宋体" w:cs="宋体"/>
          <w:color w:val="000000"/>
          <w:sz w:val="21"/>
        </w:rPr>
        <w:t>）</w:t>
      </w:r>
      <w:r>
        <w:rPr>
          <w:rFonts w:ascii="宋体" w:hAnsi="宋体" w:eastAsia="宋体" w:cs="宋体"/>
          <w:color w:val="000000"/>
          <w:sz w:val="21"/>
        </w:rPr>
        <w:t>在国家企业信用信息公示系统（</w:t>
      </w:r>
      <w:r>
        <w:fldChar w:fldCharType="begin"/>
      </w:r>
      <w:r>
        <w:instrText xml:space="preserve"> HYPERLINK "http://www.gsxt.gov.cn/" \t "dtf" </w:instrText>
      </w:r>
      <w:r>
        <w:fldChar w:fldCharType="separate"/>
      </w:r>
      <w:r>
        <w:rPr>
          <w:rStyle w:val="6"/>
          <w:color w:val="auto"/>
        </w:rPr>
        <w:t>http://www.gsxt.gov.cn/</w:t>
      </w:r>
      <w:r>
        <w:rPr>
          <w:rStyle w:val="6"/>
          <w:color w:val="auto"/>
        </w:rPr>
        <w:fldChar w:fldCharType="end"/>
      </w:r>
      <w:r>
        <w:rPr>
          <w:rFonts w:ascii="宋体" w:hAnsi="宋体" w:eastAsia="宋体" w:cs="宋体"/>
          <w:color w:val="000000"/>
          <w:sz w:val="21"/>
        </w:rPr>
        <w:t>）中被列入严重违法失信企业名单；</w:t>
      </w:r>
    </w:p>
    <w:p>
      <w:pPr>
        <w:snapToGrid/>
        <w:spacing w:before="0" w:after="0" w:line="360" w:lineRule="auto"/>
        <w:jc w:val="both"/>
      </w:pPr>
      <w:r>
        <w:rPr>
          <w:rFonts w:ascii="宋体" w:hAnsi="宋体" w:eastAsia="宋体" w:cs="宋体"/>
          <w:color w:val="000000"/>
          <w:sz w:val="21"/>
        </w:rPr>
        <w:t>6</w:t>
      </w:r>
      <w:r>
        <w:rPr>
          <w:rFonts w:hint="eastAsia" w:ascii="宋体" w:hAnsi="宋体" w:eastAsia="宋体" w:cs="宋体"/>
          <w:color w:val="000000"/>
          <w:sz w:val="21"/>
        </w:rPr>
        <w:t>）</w:t>
      </w:r>
      <w:r>
        <w:rPr>
          <w:rFonts w:ascii="宋体" w:hAnsi="宋体" w:eastAsia="宋体" w:cs="宋体"/>
          <w:color w:val="000000"/>
          <w:sz w:val="21"/>
        </w:rPr>
        <w:t>在“信用中国”网站（</w:t>
      </w:r>
      <w:r>
        <w:fldChar w:fldCharType="begin"/>
      </w:r>
      <w:r>
        <w:instrText xml:space="preserve"> HYPERLINK "http://www.creditchina.gov.cn/" \t "dtf" </w:instrText>
      </w:r>
      <w:r>
        <w:fldChar w:fldCharType="separate"/>
      </w:r>
      <w:r>
        <w:rPr>
          <w:rStyle w:val="6"/>
          <w:color w:val="auto"/>
        </w:rPr>
        <w:t>http://www.creditchina.gov.cn/</w:t>
      </w:r>
      <w:r>
        <w:rPr>
          <w:rStyle w:val="6"/>
          <w:color w:val="auto"/>
        </w:rPr>
        <w:fldChar w:fldCharType="end"/>
      </w:r>
      <w:r>
        <w:rPr>
          <w:rFonts w:ascii="宋体" w:hAnsi="宋体" w:eastAsia="宋体" w:cs="宋体"/>
          <w:color w:val="000000"/>
          <w:sz w:val="21"/>
        </w:rPr>
        <w:t>）中被列入失信被执行人名单；</w:t>
      </w:r>
    </w:p>
    <w:p>
      <w:pPr>
        <w:snapToGrid/>
        <w:spacing w:before="0" w:after="0" w:line="360" w:lineRule="auto"/>
        <w:jc w:val="both"/>
      </w:pPr>
      <w:r>
        <w:rPr>
          <w:rFonts w:ascii="宋体" w:hAnsi="宋体" w:eastAsia="宋体" w:cs="宋体"/>
          <w:color w:val="000000"/>
          <w:sz w:val="21"/>
        </w:rPr>
        <w:t>7</w:t>
      </w:r>
      <w:r>
        <w:rPr>
          <w:rFonts w:hint="eastAsia" w:ascii="宋体" w:hAnsi="宋体" w:eastAsia="宋体" w:cs="宋体"/>
          <w:color w:val="000000"/>
          <w:sz w:val="21"/>
        </w:rPr>
        <w:t>）</w:t>
      </w:r>
      <w:r>
        <w:rPr>
          <w:rFonts w:ascii="宋体" w:hAnsi="宋体" w:eastAsia="宋体" w:cs="宋体"/>
          <w:color w:val="000000"/>
          <w:sz w:val="21"/>
        </w:rPr>
        <w:t>在“信用中国”网站（</w:t>
      </w:r>
      <w:r>
        <w:fldChar w:fldCharType="begin"/>
      </w:r>
      <w:r>
        <w:instrText xml:space="preserve"> HYPERLINK "http://www.creditchina.gov.cn/" \t "dtf" </w:instrText>
      </w:r>
      <w:r>
        <w:fldChar w:fldCharType="separate"/>
      </w:r>
      <w:r>
        <w:rPr>
          <w:rStyle w:val="6"/>
          <w:color w:val="auto"/>
        </w:rPr>
        <w:t>http://www.creditchina.gov.cn/</w:t>
      </w:r>
      <w:r>
        <w:rPr>
          <w:rStyle w:val="6"/>
          <w:color w:val="auto"/>
        </w:rPr>
        <w:fldChar w:fldCharType="end"/>
      </w:r>
      <w:r>
        <w:rPr>
          <w:rFonts w:ascii="宋体" w:hAnsi="宋体" w:eastAsia="宋体" w:cs="宋体"/>
          <w:color w:val="000000"/>
          <w:sz w:val="21"/>
        </w:rPr>
        <w:t>）中被列入重大税收违法案件当事人名单；</w:t>
      </w:r>
    </w:p>
    <w:p>
      <w:pPr>
        <w:snapToGrid/>
        <w:spacing w:before="0" w:after="0" w:line="360" w:lineRule="auto"/>
        <w:jc w:val="both"/>
      </w:pPr>
      <w:r>
        <w:rPr>
          <w:rFonts w:ascii="宋体" w:hAnsi="宋体" w:eastAsia="宋体" w:cs="宋体"/>
          <w:color w:val="000000"/>
          <w:sz w:val="21"/>
        </w:rPr>
        <w:t>8</w:t>
      </w:r>
      <w:r>
        <w:rPr>
          <w:rFonts w:hint="eastAsia" w:ascii="宋体" w:hAnsi="宋体" w:eastAsia="宋体" w:cs="宋体"/>
          <w:color w:val="000000"/>
          <w:sz w:val="21"/>
        </w:rPr>
        <w:t>）</w:t>
      </w:r>
      <w:r>
        <w:rPr>
          <w:rFonts w:ascii="宋体" w:hAnsi="宋体" w:eastAsia="宋体" w:cs="宋体"/>
          <w:color w:val="000000"/>
          <w:sz w:val="21"/>
        </w:rPr>
        <w:t xml:space="preserve">在近三年内投标人或其法定代表人、拟委任的项目经理有行贿犯罪行为的； </w:t>
      </w:r>
    </w:p>
    <w:p>
      <w:pPr>
        <w:snapToGrid/>
        <w:spacing w:before="0" w:after="0" w:line="360" w:lineRule="auto"/>
        <w:jc w:val="both"/>
      </w:pPr>
      <w:r>
        <w:rPr>
          <w:rFonts w:ascii="宋体" w:hAnsi="宋体" w:eastAsia="宋体" w:cs="宋体"/>
          <w:color w:val="000000"/>
          <w:sz w:val="21"/>
        </w:rPr>
        <w:t>9</w:t>
      </w:r>
      <w:r>
        <w:rPr>
          <w:rFonts w:hint="eastAsia" w:ascii="宋体" w:hAnsi="宋体" w:eastAsia="宋体" w:cs="宋体"/>
          <w:color w:val="000000"/>
          <w:sz w:val="21"/>
        </w:rPr>
        <w:t>）</w:t>
      </w:r>
      <w:r>
        <w:rPr>
          <w:rFonts w:ascii="宋体" w:hAnsi="宋体" w:eastAsia="宋体" w:cs="宋体"/>
          <w:color w:val="000000"/>
          <w:sz w:val="21"/>
        </w:rPr>
        <w:t xml:space="preserve">被人力资源社会保障行政部门列入拖欠农民工工资“黑名单”且未被移出； </w:t>
      </w:r>
    </w:p>
    <w:p>
      <w:pPr>
        <w:snapToGrid/>
        <w:spacing w:before="0" w:after="0" w:line="240" w:lineRule="auto"/>
        <w:jc w:val="both"/>
      </w:pPr>
      <w:r>
        <w:rPr>
          <w:rFonts w:ascii="宋体" w:hAnsi="宋体" w:eastAsia="宋体" w:cs="宋体"/>
          <w:color w:val="000000"/>
          <w:sz w:val="21"/>
        </w:rPr>
        <w:t>10</w:t>
      </w:r>
      <w:r>
        <w:rPr>
          <w:rFonts w:hint="eastAsia" w:ascii="宋体" w:hAnsi="宋体" w:eastAsia="宋体" w:cs="宋体"/>
          <w:color w:val="000000"/>
          <w:sz w:val="21"/>
        </w:rPr>
        <w:t>）</w:t>
      </w:r>
      <w:r>
        <w:rPr>
          <w:rFonts w:ascii="宋体" w:hAnsi="宋体" w:eastAsia="宋体" w:cs="宋体"/>
          <w:color w:val="000000"/>
          <w:sz w:val="21"/>
        </w:rPr>
        <w:t>法律法规或投标人须知前附表规定的其他情形。</w:t>
      </w:r>
    </w:p>
    <w:p>
      <w:pPr>
        <w:snapToGrid/>
        <w:spacing w:before="0" w:after="0" w:line="400" w:lineRule="exact"/>
        <w:ind w:firstLine="440" w:firstLineChars="200"/>
        <w:jc w:val="both"/>
      </w:pPr>
    </w:p>
    <w:p>
      <w:pPr>
        <w:snapToGrid/>
        <w:spacing w:before="0" w:after="0" w:line="400" w:lineRule="exact"/>
        <w:ind w:firstLine="442" w:firstLineChars="200"/>
        <w:jc w:val="both"/>
      </w:pPr>
      <w:r>
        <w:rPr>
          <w:rFonts w:ascii="宋体" w:hAnsi="宋体" w:eastAsia="宋体" w:cs="宋体"/>
          <w:b/>
          <w:color w:val="000000"/>
        </w:rPr>
        <w:t>第二条招标文件的澄清、修改原则</w:t>
      </w:r>
    </w:p>
    <w:p>
      <w:pPr>
        <w:snapToGrid/>
        <w:spacing w:before="0" w:after="0" w:line="400" w:lineRule="exact"/>
        <w:ind w:firstLine="440" w:firstLineChars="200"/>
        <w:jc w:val="both"/>
      </w:pPr>
      <w:r>
        <w:rPr>
          <w:rFonts w:ascii="宋体" w:hAnsi="宋体" w:eastAsia="宋体" w:cs="宋体"/>
          <w:color w:val="000000"/>
        </w:rPr>
        <w:t>2.1招标文件是招标人依据有关法律法规以及分包工程项目的特点和需要编制的，用以阐明工程发包范围、工作内容、标准和要求，技术规范、标准以及表格和补充条款、合同条款，</w:t>
      </w:r>
      <w:r>
        <w:rPr>
          <w:rFonts w:ascii="宋体" w:hAnsi="宋体" w:eastAsia="宋体" w:cs="宋体"/>
          <w:color w:val="000000"/>
          <w:sz w:val="21"/>
        </w:rPr>
        <w:t>询</w:t>
      </w:r>
      <w:r>
        <w:rPr>
          <w:rFonts w:ascii="宋体" w:hAnsi="宋体" w:eastAsia="宋体" w:cs="宋体"/>
          <w:color w:val="000000"/>
        </w:rPr>
        <w:t>报价程序、</w:t>
      </w:r>
      <w:r>
        <w:rPr>
          <w:rFonts w:hint="eastAsia" w:ascii="宋体" w:hAnsi="宋体" w:eastAsia="宋体" w:cs="宋体"/>
          <w:color w:val="000000"/>
        </w:rPr>
        <w:t>评标</w:t>
      </w:r>
      <w:r>
        <w:rPr>
          <w:rFonts w:ascii="宋体" w:hAnsi="宋体" w:eastAsia="宋体" w:cs="宋体"/>
          <w:color w:val="000000"/>
        </w:rPr>
        <w:t>办法等项内容，是投标人编制报价文件的依据，投标人应认真审阅招标文件的内容来编织报价文件。如果投标人的报价文件不能实质性地响应招标文件要求，责任由投标人自负。</w:t>
      </w:r>
    </w:p>
    <w:p>
      <w:pPr>
        <w:snapToGrid/>
        <w:spacing w:before="0" w:after="0" w:line="400" w:lineRule="exact"/>
        <w:jc w:val="both"/>
      </w:pPr>
      <w:r>
        <w:rPr>
          <w:rFonts w:ascii="宋体" w:hAnsi="宋体" w:eastAsia="宋体" w:cs="宋体"/>
          <w:color w:val="000000"/>
        </w:rPr>
        <w:t xml:space="preserve">    2.2  招标文件澄清与修改</w:t>
      </w:r>
    </w:p>
    <w:p>
      <w:pPr>
        <w:snapToGrid/>
        <w:spacing w:before="0" w:after="0" w:line="400" w:lineRule="exact"/>
        <w:ind w:firstLine="440" w:firstLineChars="200"/>
        <w:jc w:val="both"/>
      </w:pPr>
      <w:r>
        <w:rPr>
          <w:rFonts w:ascii="宋体" w:hAnsi="宋体" w:eastAsia="宋体" w:cs="宋体"/>
          <w:color w:val="000000"/>
        </w:rPr>
        <w:t>2.2.1投标人在收到招标文件、施工图纸和踏勘现场后，若有疑问需要解答的，应于收到招标文件后</w:t>
      </w:r>
      <w:r>
        <w:rPr>
          <w:rFonts w:ascii="宋体" w:hAnsi="宋体" w:eastAsia="宋体" w:cs="宋体"/>
          <w:color w:val="000000"/>
          <w:u w:val="single"/>
        </w:rPr>
        <w:t>3</w:t>
      </w:r>
      <w:r>
        <w:rPr>
          <w:rFonts w:ascii="宋体" w:hAnsi="宋体" w:eastAsia="宋体" w:cs="宋体"/>
          <w:color w:val="000000"/>
        </w:rPr>
        <w:t>日内以书面形式（包括书面文字、传真、电子邮件等）向招标人提出，招标人将以书面形式予以解答。</w:t>
      </w:r>
    </w:p>
    <w:p>
      <w:pPr>
        <w:snapToGrid/>
        <w:spacing w:before="0" w:after="0" w:line="400" w:lineRule="exact"/>
        <w:ind w:firstLine="440" w:firstLineChars="200"/>
        <w:jc w:val="both"/>
      </w:pPr>
      <w:r>
        <w:rPr>
          <w:rFonts w:ascii="宋体" w:hAnsi="宋体" w:eastAsia="宋体" w:cs="宋体"/>
          <w:color w:val="000000"/>
        </w:rPr>
        <w:t>2.2.2 所有问题的解答，将在</w:t>
      </w:r>
      <w:r>
        <w:rPr>
          <w:rFonts w:ascii="宋体" w:hAnsi="宋体" w:eastAsia="宋体" w:cs="宋体"/>
          <w:color w:val="000000"/>
          <w:u w:val="single"/>
        </w:rPr>
        <w:t xml:space="preserve"> 2 </w:t>
      </w:r>
      <w:r>
        <w:rPr>
          <w:rFonts w:ascii="宋体" w:hAnsi="宋体" w:eastAsia="宋体" w:cs="宋体"/>
          <w:color w:val="000000"/>
        </w:rPr>
        <w:t>日内在我司官网答疑。由此而产生的对招标文件内容的修改，以答疑通知为准。</w:t>
      </w:r>
    </w:p>
    <w:p>
      <w:pPr>
        <w:snapToGrid/>
        <w:spacing w:before="0" w:after="0" w:line="400" w:lineRule="exact"/>
        <w:ind w:firstLine="440" w:firstLineChars="200"/>
        <w:jc w:val="both"/>
      </w:pPr>
      <w:r>
        <w:rPr>
          <w:rFonts w:ascii="宋体" w:hAnsi="宋体" w:eastAsia="宋体" w:cs="宋体"/>
          <w:color w:val="000000"/>
        </w:rPr>
        <w:t>2.2.3 在报价截止日期2天前，招标人可能会以书面通知的方式修改招标文件。修改通知作为招标文件的组成部分，对投标人起同等约束作用。</w:t>
      </w:r>
    </w:p>
    <w:p>
      <w:pPr>
        <w:snapToGrid/>
        <w:spacing w:before="0" w:after="0" w:line="400" w:lineRule="exact"/>
        <w:ind w:firstLine="440" w:firstLineChars="200"/>
        <w:jc w:val="both"/>
      </w:pPr>
      <w:r>
        <w:rPr>
          <w:rFonts w:ascii="宋体" w:hAnsi="宋体" w:eastAsia="宋体" w:cs="宋体"/>
          <w:color w:val="000000"/>
        </w:rPr>
        <w:t>2.2.4 修改通知将在公司官网公布。为使投标人在编制报价文件时把修改通知内容考虑进去，招标人可以酌情延长递交报价文件的截止日期，具体时间将在修改通知中注明。</w:t>
      </w:r>
    </w:p>
    <w:p>
      <w:pPr>
        <w:snapToGrid/>
        <w:spacing w:before="0" w:after="0" w:line="400" w:lineRule="exact"/>
        <w:ind w:firstLine="440" w:firstLineChars="200"/>
        <w:jc w:val="both"/>
      </w:pPr>
      <w:r>
        <w:rPr>
          <w:rFonts w:ascii="宋体" w:hAnsi="宋体" w:eastAsia="宋体" w:cs="宋体"/>
          <w:color w:val="000000"/>
        </w:rPr>
        <w:t>2.2.5当招标文件、修改通知内容相互矛盾时，以最后发出的通知为准。</w:t>
      </w:r>
    </w:p>
    <w:p>
      <w:pPr>
        <w:snapToGrid/>
        <w:spacing w:before="0" w:after="0" w:line="400" w:lineRule="exact"/>
        <w:ind w:firstLine="442" w:firstLineChars="200"/>
        <w:jc w:val="both"/>
        <w:rPr>
          <w:color w:val="000000" w:themeColor="text1"/>
        </w:rPr>
      </w:pPr>
      <w:r>
        <w:rPr>
          <w:rFonts w:ascii="宋体" w:hAnsi="宋体" w:eastAsia="宋体" w:cs="宋体"/>
          <w:b/>
          <w:color w:val="000000" w:themeColor="text1"/>
        </w:rPr>
        <w:t>第三条</w:t>
      </w:r>
      <w:r>
        <w:rPr>
          <w:rFonts w:hint="eastAsia" w:ascii="宋体" w:hAnsi="宋体" w:eastAsia="宋体" w:cs="宋体"/>
          <w:b/>
          <w:color w:val="000000" w:themeColor="text1"/>
        </w:rPr>
        <w:t>评标</w:t>
      </w:r>
      <w:r>
        <w:rPr>
          <w:rFonts w:ascii="宋体" w:hAnsi="宋体" w:eastAsia="宋体" w:cs="宋体"/>
          <w:b/>
          <w:color w:val="000000" w:themeColor="text1"/>
        </w:rPr>
        <w:t>与定标原则</w:t>
      </w:r>
    </w:p>
    <w:p>
      <w:pPr>
        <w:snapToGrid/>
        <w:spacing w:before="0" w:after="0" w:line="400" w:lineRule="exact"/>
        <w:ind w:firstLine="440" w:firstLineChars="200"/>
        <w:jc w:val="both"/>
        <w:rPr>
          <w:color w:val="000000" w:themeColor="text1"/>
        </w:rPr>
      </w:pPr>
      <w:r>
        <w:rPr>
          <w:rFonts w:ascii="宋体" w:hAnsi="宋体" w:eastAsia="宋体" w:cs="宋体"/>
          <w:color w:val="000000" w:themeColor="text1"/>
        </w:rPr>
        <w:t>3.1 本工程由招标人组织的</w:t>
      </w:r>
      <w:r>
        <w:rPr>
          <w:rFonts w:hint="eastAsia" w:ascii="宋体" w:hAnsi="宋体" w:eastAsia="宋体" w:cs="宋体"/>
          <w:color w:val="000000" w:themeColor="text1"/>
        </w:rPr>
        <w:t>评标</w:t>
      </w:r>
      <w:r>
        <w:rPr>
          <w:rFonts w:ascii="宋体" w:hAnsi="宋体" w:eastAsia="宋体" w:cs="宋体"/>
          <w:color w:val="000000" w:themeColor="text1"/>
        </w:rPr>
        <w:t>委员会进行</w:t>
      </w:r>
      <w:r>
        <w:rPr>
          <w:rFonts w:hint="eastAsia" w:ascii="宋体" w:hAnsi="宋体" w:eastAsia="宋体" w:cs="宋体"/>
          <w:color w:val="000000" w:themeColor="text1"/>
        </w:rPr>
        <w:t>评标</w:t>
      </w:r>
      <w:r>
        <w:rPr>
          <w:rFonts w:ascii="宋体" w:hAnsi="宋体" w:eastAsia="宋体" w:cs="宋体"/>
          <w:color w:val="000000" w:themeColor="text1"/>
        </w:rPr>
        <w:t>,由工程管理部、安全技术部、经营管理部、项目部及相关领导等方面的人员组成。</w:t>
      </w:r>
    </w:p>
    <w:p>
      <w:pPr>
        <w:snapToGrid/>
        <w:spacing w:before="0" w:after="0" w:line="400" w:lineRule="exact"/>
        <w:ind w:firstLine="539" w:firstLineChars="245"/>
        <w:jc w:val="both"/>
        <w:rPr>
          <w:rFonts w:ascii="宋体" w:hAnsi="宋体" w:eastAsia="宋体" w:cs="宋体"/>
          <w:color w:val="000000" w:themeColor="text1"/>
        </w:rPr>
      </w:pPr>
      <w:r>
        <w:rPr>
          <w:rFonts w:ascii="宋体" w:hAnsi="宋体" w:eastAsia="宋体" w:cs="宋体"/>
          <w:color w:val="000000" w:themeColor="text1"/>
        </w:rPr>
        <w:t xml:space="preserve">3.2 </w:t>
      </w:r>
      <w:r>
        <w:rPr>
          <w:rFonts w:hint="eastAsia" w:ascii="宋体" w:hAnsi="宋体" w:eastAsia="宋体" w:cs="宋体"/>
          <w:color w:val="000000" w:themeColor="text1"/>
        </w:rPr>
        <w:t>评标</w:t>
      </w:r>
      <w:r>
        <w:rPr>
          <w:rFonts w:ascii="宋体" w:hAnsi="宋体" w:eastAsia="宋体" w:cs="宋体"/>
          <w:color w:val="000000" w:themeColor="text1"/>
        </w:rPr>
        <w:t>：招标人设有最高报价限价并在招标会开始时公布，超过最高限价的报价将被否定,招标人不保证最低报价为中标价。招标人无需对中标合理性向任何投标人作出解释。</w:t>
      </w:r>
    </w:p>
    <w:p>
      <w:pPr>
        <w:snapToGrid/>
        <w:spacing w:before="0" w:after="0" w:line="400" w:lineRule="exact"/>
        <w:ind w:firstLine="539" w:firstLineChars="245"/>
        <w:jc w:val="both"/>
        <w:rPr>
          <w:rFonts w:ascii="宋体" w:hAnsi="宋体" w:eastAsia="宋体" w:cs="宋体"/>
          <w:color w:val="000000" w:themeColor="text1"/>
        </w:rPr>
      </w:pPr>
      <w:r>
        <w:rPr>
          <w:rFonts w:ascii="宋体" w:hAnsi="宋体" w:eastAsia="宋体" w:cs="宋体"/>
          <w:color w:val="000000" w:themeColor="text1"/>
        </w:rPr>
        <w:t>3.3 定标：本次招标达到三家及以上公司前来报价，合理低价中标；只有两家投标人则转为竞争性谈判；只有一家投标人转为单一谈判。</w:t>
      </w:r>
    </w:p>
    <w:p>
      <w:pPr>
        <w:snapToGrid/>
        <w:spacing w:before="0" w:after="0" w:line="400" w:lineRule="exact"/>
        <w:ind w:firstLine="539" w:firstLineChars="245"/>
        <w:jc w:val="both"/>
        <w:rPr>
          <w:rFonts w:ascii="宋体" w:hAnsi="宋体" w:eastAsia="宋体" w:cs="宋体"/>
          <w:color w:val="000000"/>
        </w:rPr>
      </w:pPr>
      <w:r>
        <w:rPr>
          <w:rFonts w:ascii="宋体" w:hAnsi="宋体" w:eastAsia="宋体" w:cs="宋体"/>
          <w:color w:val="000000" w:themeColor="text1"/>
        </w:rPr>
        <w:t>3.4 严禁投标人以任何形式围标、串标，如发现投标人有围标、串</w:t>
      </w:r>
      <w:r>
        <w:rPr>
          <w:rFonts w:ascii="宋体" w:hAnsi="宋体" w:eastAsia="宋体" w:cs="宋体"/>
          <w:color w:val="000000"/>
        </w:rPr>
        <w:t>标行为，没收报价保证金，永久清理出招标人合作供应商范围，并由投标人承担由此带来的所有责任。</w:t>
      </w:r>
    </w:p>
    <w:p>
      <w:pPr>
        <w:snapToGrid/>
        <w:spacing w:before="0" w:after="0" w:line="400" w:lineRule="exact"/>
        <w:ind w:firstLine="442" w:firstLineChars="200"/>
        <w:jc w:val="both"/>
      </w:pPr>
      <w:r>
        <w:rPr>
          <w:rFonts w:ascii="宋体" w:hAnsi="宋体" w:eastAsia="宋体" w:cs="宋体"/>
          <w:b/>
          <w:color w:val="000000"/>
        </w:rPr>
        <w:t>第四条合同授予原则</w:t>
      </w:r>
    </w:p>
    <w:p>
      <w:pPr>
        <w:snapToGrid/>
        <w:spacing w:before="0" w:after="0" w:line="400" w:lineRule="exact"/>
        <w:ind w:firstLine="539" w:firstLineChars="245"/>
        <w:jc w:val="both"/>
      </w:pPr>
      <w:r>
        <w:rPr>
          <w:rFonts w:ascii="宋体" w:hAnsi="宋体" w:eastAsia="宋体" w:cs="宋体"/>
          <w:color w:val="000000"/>
        </w:rPr>
        <w:t>4.</w:t>
      </w:r>
      <w:r>
        <w:rPr>
          <w:rFonts w:hint="eastAsia" w:ascii="宋体" w:hAnsi="宋体" w:eastAsia="宋体" w:cs="宋体"/>
          <w:color w:val="000000"/>
        </w:rPr>
        <w:t>1中标</w:t>
      </w:r>
      <w:r>
        <w:rPr>
          <w:rFonts w:ascii="宋体" w:hAnsi="宋体" w:eastAsia="宋体" w:cs="宋体"/>
          <w:color w:val="000000"/>
        </w:rPr>
        <w:t>单位收到《</w:t>
      </w:r>
      <w:r>
        <w:rPr>
          <w:rFonts w:hint="eastAsia" w:ascii="宋体" w:hAnsi="宋体" w:eastAsia="宋体" w:cs="宋体"/>
          <w:color w:val="000000"/>
        </w:rPr>
        <w:t>中标</w:t>
      </w:r>
      <w:r>
        <w:rPr>
          <w:rFonts w:ascii="宋体" w:hAnsi="宋体" w:eastAsia="宋体" w:cs="宋体"/>
          <w:color w:val="000000"/>
        </w:rPr>
        <w:t>通知书》后，应在</w:t>
      </w:r>
      <w:r>
        <w:rPr>
          <w:rFonts w:ascii="宋体" w:hAnsi="宋体" w:eastAsia="宋体" w:cs="宋体"/>
          <w:color w:val="000000"/>
          <w:u w:val="single"/>
        </w:rPr>
        <w:t>5</w:t>
      </w:r>
      <w:r>
        <w:rPr>
          <w:rFonts w:ascii="宋体" w:hAnsi="宋体" w:eastAsia="宋体" w:cs="宋体"/>
          <w:color w:val="000000"/>
        </w:rPr>
        <w:t>日内与招标人签订施工合同。投标人不按规定与招标人订立合同的，招标人将保留取消投标人被采纳资格和追究损失赔偿的权利。</w:t>
      </w:r>
    </w:p>
    <w:p>
      <w:pPr>
        <w:snapToGrid/>
        <w:spacing w:before="0" w:after="0" w:line="400" w:lineRule="exact"/>
        <w:ind w:firstLine="539" w:firstLineChars="245"/>
        <w:jc w:val="both"/>
      </w:pPr>
      <w:r>
        <w:rPr>
          <w:rFonts w:ascii="宋体" w:hAnsi="宋体" w:eastAsia="宋体" w:cs="宋体"/>
          <w:color w:val="000000"/>
        </w:rPr>
        <w:t>4.</w:t>
      </w:r>
      <w:r>
        <w:rPr>
          <w:rFonts w:hint="eastAsia" w:ascii="宋体" w:hAnsi="宋体" w:eastAsia="宋体" w:cs="宋体"/>
          <w:color w:val="000000"/>
        </w:rPr>
        <w:t>2</w:t>
      </w:r>
      <w:r>
        <w:rPr>
          <w:rFonts w:ascii="宋体" w:hAnsi="宋体" w:eastAsia="宋体" w:cs="宋体"/>
          <w:color w:val="000000"/>
        </w:rPr>
        <w:t xml:space="preserve"> 全部报价文件资料作为合同签订的有关依据，与合同同样具有相应的法律效力。</w:t>
      </w:r>
    </w:p>
    <w:p>
      <w:pPr>
        <w:snapToGrid/>
        <w:spacing w:before="0" w:after="0" w:line="400" w:lineRule="exact"/>
        <w:ind w:firstLine="541" w:firstLineChars="245"/>
        <w:jc w:val="both"/>
      </w:pPr>
      <w:r>
        <w:rPr>
          <w:rFonts w:ascii="宋体" w:hAnsi="宋体" w:eastAsia="宋体" w:cs="宋体"/>
          <w:b/>
          <w:color w:val="000000"/>
        </w:rPr>
        <w:t>第五条招标人与招标联系人</w:t>
      </w:r>
    </w:p>
    <w:p>
      <w:pPr>
        <w:snapToGrid/>
        <w:spacing w:before="0" w:after="0" w:line="400" w:lineRule="exact"/>
        <w:ind w:firstLine="539" w:firstLineChars="245"/>
        <w:jc w:val="both"/>
      </w:pPr>
      <w:r>
        <w:rPr>
          <w:rFonts w:ascii="宋体" w:hAnsi="宋体" w:eastAsia="宋体" w:cs="宋体"/>
          <w:color w:val="000000"/>
        </w:rPr>
        <w:t>招标人：安徽新集矿山建设工程有限公司</w:t>
      </w:r>
    </w:p>
    <w:p>
      <w:pPr>
        <w:snapToGrid/>
        <w:spacing w:before="0" w:after="0" w:line="400" w:lineRule="exact"/>
        <w:ind w:firstLine="539" w:firstLineChars="245"/>
        <w:jc w:val="both"/>
      </w:pPr>
      <w:r>
        <w:rPr>
          <w:rFonts w:ascii="宋体" w:hAnsi="宋体" w:eastAsia="宋体" w:cs="宋体"/>
          <w:color w:val="000000"/>
        </w:rPr>
        <w:t xml:space="preserve"> 招标联系人:   石多梅</w:t>
      </w:r>
    </w:p>
    <w:p>
      <w:pPr>
        <w:snapToGrid/>
        <w:spacing w:before="0" w:after="0" w:line="400" w:lineRule="exact"/>
        <w:ind w:firstLine="660" w:firstLineChars="300"/>
        <w:jc w:val="both"/>
      </w:pPr>
      <w:r>
        <w:rPr>
          <w:rFonts w:ascii="宋体" w:hAnsi="宋体" w:eastAsia="宋体" w:cs="宋体"/>
          <w:color w:val="000000"/>
        </w:rPr>
        <w:t>联系电话：15956671500</w:t>
      </w:r>
    </w:p>
    <w:p>
      <w:pPr>
        <w:snapToGrid/>
        <w:spacing w:before="0" w:after="0" w:line="400" w:lineRule="exact"/>
        <w:ind w:firstLine="660" w:firstLineChars="300"/>
        <w:jc w:val="both"/>
      </w:pPr>
      <w:r>
        <w:rPr>
          <w:rFonts w:ascii="宋体" w:hAnsi="宋体" w:eastAsia="宋体" w:cs="宋体"/>
          <w:color w:val="000000"/>
        </w:rPr>
        <w:t>现场联系人：王磊</w:t>
      </w:r>
    </w:p>
    <w:p>
      <w:pPr>
        <w:snapToGrid/>
        <w:spacing w:before="0" w:after="0" w:line="400" w:lineRule="exact"/>
        <w:ind w:firstLine="660" w:firstLineChars="300"/>
        <w:jc w:val="both"/>
        <w:rPr>
          <w:rFonts w:hint="eastAsia" w:ascii="宋体" w:hAnsi="宋体" w:eastAsia="宋体" w:cs="宋体"/>
          <w:color w:val="000000"/>
        </w:rPr>
      </w:pPr>
      <w:r>
        <w:rPr>
          <w:rFonts w:ascii="宋体" w:hAnsi="宋体" w:eastAsia="宋体" w:cs="宋体"/>
          <w:color w:val="000000"/>
        </w:rPr>
        <w:t>联系电话：13739255789</w:t>
      </w:r>
    </w:p>
    <w:p>
      <w:pPr>
        <w:snapToGrid/>
        <w:spacing w:before="0" w:after="0" w:line="400" w:lineRule="exact"/>
        <w:ind w:firstLine="660" w:firstLineChars="300"/>
        <w:jc w:val="both"/>
      </w:pPr>
    </w:p>
    <w:p>
      <w:pPr>
        <w:snapToGrid/>
        <w:spacing w:before="0" w:after="0" w:line="700" w:lineRule="exact"/>
        <w:jc w:val="center"/>
      </w:pPr>
      <w:r>
        <w:rPr>
          <w:rFonts w:ascii="宋体" w:hAnsi="宋体" w:eastAsia="宋体" w:cs="宋体"/>
          <w:b/>
          <w:color w:val="000000"/>
          <w:sz w:val="48"/>
        </w:rPr>
        <w:t> </w:t>
      </w:r>
      <w:r>
        <w:rPr>
          <w:rFonts w:ascii="宋体" w:hAnsi="宋体" w:eastAsia="宋体" w:cs="宋体"/>
          <w:b/>
          <w:color w:val="000000"/>
          <w:sz w:val="36"/>
        </w:rPr>
        <w:t> </w:t>
      </w:r>
    </w:p>
    <w:p>
      <w:pPr>
        <w:snapToGrid/>
        <w:spacing w:before="0" w:after="0" w:line="700" w:lineRule="exact"/>
        <w:jc w:val="center"/>
      </w:pPr>
      <w:r>
        <w:rPr>
          <w:rFonts w:ascii="宋体" w:hAnsi="宋体" w:eastAsia="宋体" w:cs="宋体"/>
          <w:b/>
          <w:color w:val="000000"/>
          <w:sz w:val="36"/>
        </w:rPr>
        <w:t>二、发包范围、工作内容目标及要求</w:t>
      </w:r>
    </w:p>
    <w:p>
      <w:pPr>
        <w:snapToGrid/>
        <w:spacing w:before="0" w:after="0" w:line="400" w:lineRule="exact"/>
        <w:ind w:firstLine="442" w:firstLineChars="200"/>
        <w:jc w:val="both"/>
      </w:pPr>
      <w:r>
        <w:rPr>
          <w:rFonts w:ascii="宋体" w:hAnsi="宋体" w:eastAsia="宋体" w:cs="宋体"/>
          <w:b/>
          <w:color w:val="000000"/>
        </w:rPr>
        <w:t> </w:t>
      </w:r>
    </w:p>
    <w:p>
      <w:pPr>
        <w:snapToGrid/>
        <w:spacing w:before="0" w:after="0" w:line="400" w:lineRule="exact"/>
        <w:ind w:firstLine="442" w:firstLineChars="200"/>
        <w:jc w:val="both"/>
      </w:pPr>
      <w:r>
        <w:rPr>
          <w:rFonts w:ascii="宋体" w:hAnsi="宋体" w:eastAsia="宋体" w:cs="宋体"/>
          <w:b/>
          <w:color w:val="000000"/>
        </w:rPr>
        <w:t>第六条工程概况</w:t>
      </w:r>
    </w:p>
    <w:p>
      <w:pPr>
        <w:snapToGrid/>
        <w:spacing w:before="0" w:after="0" w:line="400" w:lineRule="exact"/>
        <w:ind w:firstLine="440" w:firstLineChars="200"/>
        <w:jc w:val="both"/>
      </w:pPr>
      <w:r>
        <w:rPr>
          <w:rFonts w:ascii="宋体" w:hAnsi="宋体" w:eastAsia="宋体" w:cs="宋体"/>
          <w:color w:val="000000"/>
        </w:rPr>
        <w:t>6.1  工程名称：淮南市能源数据中心及数字经济万创园项目施工总承包一标段</w:t>
      </w:r>
    </w:p>
    <w:p>
      <w:pPr>
        <w:snapToGrid/>
        <w:spacing w:before="0" w:after="0" w:line="400" w:lineRule="exact"/>
        <w:ind w:firstLine="440" w:firstLineChars="200"/>
        <w:jc w:val="both"/>
      </w:pPr>
      <w:r>
        <w:rPr>
          <w:rFonts w:ascii="宋体" w:hAnsi="宋体" w:eastAsia="宋体" w:cs="宋体"/>
          <w:color w:val="000000"/>
        </w:rPr>
        <w:t>6.2  工程地址：山南智慧谷</w:t>
      </w:r>
    </w:p>
    <w:p>
      <w:pPr>
        <w:snapToGrid/>
        <w:spacing w:before="0" w:after="0" w:line="400" w:lineRule="exact"/>
        <w:ind w:firstLine="440" w:firstLineChars="200"/>
        <w:jc w:val="both"/>
      </w:pPr>
      <w:r>
        <w:rPr>
          <w:rFonts w:ascii="宋体" w:hAnsi="宋体" w:eastAsia="宋体" w:cs="宋体"/>
          <w:color w:val="000000"/>
        </w:rPr>
        <w:t>6.3  建设单位：淮南市产业发展（集团）有限公司</w:t>
      </w:r>
    </w:p>
    <w:p>
      <w:pPr>
        <w:snapToGrid/>
        <w:spacing w:before="0" w:after="0" w:line="400" w:lineRule="exact"/>
        <w:ind w:firstLine="440" w:firstLineChars="200"/>
        <w:jc w:val="both"/>
      </w:pPr>
      <w:r>
        <w:rPr>
          <w:rFonts w:ascii="宋体" w:hAnsi="宋体" w:eastAsia="宋体" w:cs="宋体"/>
          <w:color w:val="000000"/>
        </w:rPr>
        <w:t>6.4  施工总承包单位：安徽新集矿山建设工程有限公司</w:t>
      </w:r>
    </w:p>
    <w:p>
      <w:pPr>
        <w:snapToGrid/>
        <w:spacing w:before="0" w:after="0" w:line="400" w:lineRule="exact"/>
        <w:ind w:firstLine="440" w:firstLineChars="200"/>
        <w:jc w:val="both"/>
      </w:pPr>
      <w:r>
        <w:rPr>
          <w:rFonts w:ascii="宋体" w:hAnsi="宋体" w:eastAsia="宋体" w:cs="宋体"/>
          <w:color w:val="000000"/>
        </w:rPr>
        <w:t>6.5承包人承揽工程项目一览表</w:t>
      </w:r>
    </w:p>
    <w:p>
      <w:pPr>
        <w:snapToGrid/>
        <w:spacing w:before="0" w:after="0" w:line="400" w:lineRule="exact"/>
        <w:ind w:firstLine="440" w:firstLineChars="200"/>
        <w:jc w:val="both"/>
      </w:pPr>
      <w:r>
        <w:rPr>
          <w:rFonts w:ascii="宋体" w:hAnsi="宋体" w:eastAsia="宋体" w:cs="宋体"/>
          <w:color w:val="000000"/>
        </w:rPr>
        <w:t>6.6工程规模（总建筑面积）</w:t>
      </w:r>
      <w:r>
        <w:rPr>
          <w:rFonts w:ascii="宋体" w:hAnsi="宋体" w:eastAsia="宋体" w:cs="宋体"/>
          <w:color w:val="000000"/>
          <w:u w:val="single"/>
        </w:rPr>
        <w:t>124285.9</w:t>
      </w:r>
      <w:r>
        <w:rPr>
          <w:rFonts w:ascii="宋体" w:hAnsi="宋体" w:eastAsia="宋体" w:cs="宋体"/>
          <w:color w:val="000000"/>
        </w:rPr>
        <w:t>㎡。</w:t>
      </w:r>
    </w:p>
    <w:p>
      <w:pPr>
        <w:snapToGrid/>
        <w:spacing w:before="0" w:after="0" w:line="400" w:lineRule="exact"/>
        <w:ind w:firstLine="1100" w:firstLineChars="500"/>
        <w:jc w:val="both"/>
      </w:pPr>
      <w:r>
        <w:rPr>
          <w:rFonts w:ascii="宋体" w:hAnsi="宋体" w:eastAsia="宋体" w:cs="宋体"/>
          <w:color w:val="000000"/>
        </w:rPr>
        <w:t>其中：地上建筑面积</w:t>
      </w:r>
      <w:r>
        <w:rPr>
          <w:rFonts w:ascii="宋体" w:hAnsi="宋体" w:eastAsia="宋体" w:cs="宋体"/>
          <w:color w:val="000000"/>
          <w:u w:val="single"/>
        </w:rPr>
        <w:t xml:space="preserve">  67529.84㎡</w:t>
      </w:r>
      <w:r>
        <w:rPr>
          <w:rFonts w:ascii="宋体" w:hAnsi="宋体" w:eastAsia="宋体" w:cs="宋体"/>
          <w:color w:val="000000"/>
        </w:rPr>
        <w:t>地下建筑面积：</w:t>
      </w:r>
      <w:r>
        <w:rPr>
          <w:rFonts w:ascii="宋体" w:hAnsi="宋体" w:eastAsia="宋体" w:cs="宋体"/>
          <w:color w:val="000000"/>
          <w:u w:val="single"/>
        </w:rPr>
        <w:t xml:space="preserve"> 56756.09</w:t>
      </w:r>
      <w:r>
        <w:rPr>
          <w:rFonts w:ascii="宋体" w:hAnsi="宋体" w:eastAsia="宋体" w:cs="宋体"/>
          <w:color w:val="000000"/>
        </w:rPr>
        <w:t>㎡。</w:t>
      </w:r>
    </w:p>
    <w:p>
      <w:pPr>
        <w:snapToGrid/>
        <w:spacing w:before="0" w:after="0" w:line="400" w:lineRule="exact"/>
        <w:ind w:firstLine="440" w:firstLineChars="200"/>
        <w:jc w:val="both"/>
      </w:pPr>
      <w:r>
        <w:rPr>
          <w:rFonts w:ascii="宋体" w:hAnsi="宋体" w:eastAsia="宋体" w:cs="宋体"/>
          <w:color w:val="000000"/>
        </w:rPr>
        <w:t>6.7结构类型：</w:t>
      </w:r>
      <w:r>
        <w:rPr>
          <w:rFonts w:ascii="宋体" w:hAnsi="宋体" w:eastAsia="宋体" w:cs="宋体"/>
          <w:color w:val="000000"/>
          <w:u w:val="single"/>
        </w:rPr>
        <w:t xml:space="preserve">   框剪  </w:t>
      </w:r>
      <w:r>
        <w:rPr>
          <w:rFonts w:ascii="宋体" w:hAnsi="宋体" w:eastAsia="宋体" w:cs="宋体"/>
          <w:color w:val="000000"/>
        </w:rPr>
        <w:t>。</w:t>
      </w:r>
    </w:p>
    <w:p>
      <w:pPr>
        <w:snapToGrid/>
        <w:spacing w:before="0" w:after="0" w:line="400" w:lineRule="exact"/>
        <w:ind w:firstLine="440" w:firstLineChars="200"/>
        <w:jc w:val="both"/>
      </w:pPr>
      <w:r>
        <w:rPr>
          <w:rFonts w:ascii="宋体" w:hAnsi="宋体" w:eastAsia="宋体" w:cs="宋体"/>
          <w:color w:val="000000"/>
        </w:rPr>
        <w:t> </w:t>
      </w:r>
    </w:p>
    <w:p>
      <w:pPr>
        <w:snapToGrid/>
        <w:spacing w:before="0" w:after="0" w:line="400" w:lineRule="exact"/>
        <w:ind w:firstLine="442" w:firstLineChars="200"/>
        <w:jc w:val="both"/>
      </w:pPr>
      <w:r>
        <w:rPr>
          <w:rFonts w:ascii="宋体" w:hAnsi="宋体" w:eastAsia="宋体" w:cs="宋体"/>
          <w:b/>
          <w:color w:val="000000"/>
        </w:rPr>
        <w:t>第七条现场情况介绍</w:t>
      </w:r>
    </w:p>
    <w:p>
      <w:pPr>
        <w:snapToGrid/>
        <w:spacing w:before="0" w:after="0" w:line="400" w:lineRule="exact"/>
        <w:ind w:firstLine="440" w:firstLineChars="200"/>
        <w:jc w:val="both"/>
      </w:pPr>
      <w:r>
        <w:rPr>
          <w:rFonts w:ascii="宋体" w:hAnsi="宋体" w:eastAsia="宋体" w:cs="宋体"/>
          <w:color w:val="000000"/>
        </w:rPr>
        <w:t>7.1  现场场地:场地内部三通一平已经完成。</w:t>
      </w:r>
    </w:p>
    <w:p>
      <w:pPr>
        <w:snapToGrid/>
        <w:spacing w:before="0" w:after="0" w:line="400" w:lineRule="exact"/>
        <w:ind w:firstLine="440" w:firstLineChars="200"/>
        <w:jc w:val="both"/>
      </w:pPr>
      <w:r>
        <w:rPr>
          <w:rFonts w:ascii="宋体" w:hAnsi="宋体" w:eastAsia="宋体" w:cs="宋体"/>
          <w:color w:val="000000"/>
        </w:rPr>
        <w:t>7.2  现场临时设施：招标人对现场临时办公场所、用水、用电统一管理。</w:t>
      </w:r>
    </w:p>
    <w:p>
      <w:pPr>
        <w:snapToGrid/>
        <w:spacing w:before="0" w:after="0" w:line="400" w:lineRule="exact"/>
        <w:ind w:firstLine="440" w:firstLineChars="200"/>
        <w:jc w:val="both"/>
      </w:pPr>
      <w:r>
        <w:rPr>
          <w:rFonts w:ascii="宋体" w:hAnsi="宋体" w:eastAsia="宋体" w:cs="宋体"/>
          <w:color w:val="000000"/>
        </w:rPr>
        <w:t>7.3  临时用电用水：招标人提供临时用电至二级配电箱，二级配电箱</w:t>
      </w:r>
      <w:r>
        <w:rPr>
          <w:rFonts w:ascii="宋体" w:hAnsi="宋体" w:eastAsia="宋体" w:cs="宋体"/>
          <w:color w:val="000000"/>
          <w:sz w:val="21"/>
        </w:rPr>
        <w:t>以后的所有照明、动力电缆、开关箱及相关配件材料等均由被中标人负责</w:t>
      </w:r>
      <w:r>
        <w:rPr>
          <w:rFonts w:ascii="宋体" w:hAnsi="宋体" w:eastAsia="宋体" w:cs="宋体"/>
          <w:color w:val="000000"/>
        </w:rPr>
        <w:t>。各楼层及现场施工用水以及相关配件均含在劳务承包范围。</w:t>
      </w:r>
    </w:p>
    <w:p>
      <w:pPr>
        <w:snapToGrid/>
        <w:spacing w:before="0" w:after="0" w:line="400" w:lineRule="exact"/>
        <w:ind w:firstLine="442" w:firstLineChars="200"/>
        <w:jc w:val="both"/>
      </w:pPr>
      <w:r>
        <w:rPr>
          <w:rFonts w:ascii="宋体" w:hAnsi="宋体" w:eastAsia="宋体" w:cs="宋体"/>
          <w:b/>
          <w:color w:val="000000"/>
        </w:rPr>
        <w:t>第八条发包范围、工作内容包括：</w:t>
      </w:r>
    </w:p>
    <w:p>
      <w:pPr>
        <w:snapToGrid/>
        <w:spacing w:before="0" w:after="0" w:line="400" w:lineRule="exact"/>
        <w:ind w:firstLine="440" w:firstLineChars="200"/>
        <w:jc w:val="both"/>
      </w:pPr>
      <w:r>
        <w:rPr>
          <w:rFonts w:ascii="宋体" w:hAnsi="宋体" w:eastAsia="宋体" w:cs="宋体"/>
          <w:color w:val="000000"/>
        </w:rPr>
        <w:t>8.1  瓦工承包范围包括但不限于：</w:t>
      </w:r>
    </w:p>
    <w:p>
      <w:pPr>
        <w:snapToGrid/>
        <w:spacing w:before="0" w:after="0" w:line="400" w:lineRule="exact"/>
        <w:ind w:firstLine="440" w:firstLineChars="200"/>
        <w:jc w:val="both"/>
      </w:pPr>
      <w:r>
        <w:rPr>
          <w:rFonts w:ascii="宋体" w:hAnsi="宋体" w:eastAsia="宋体" w:cs="宋体"/>
          <w:color w:val="000000"/>
        </w:rPr>
        <w:t>基础土方开挖后人工清底、人工土方夯实、基坑排水、传力带等；褥垫层石子摊铺，垫层砼浇筑，防水保护层浇筑（砌筑），砖胎模砌筑、粉刷，防水部位阴角处圆角施工，螺杆洞封堵，排水沟砌筑及粉刷等；基础回填后平整、死角及室内房心土回填、人工土方找平、夯实等；化粪池、挡土墙、砼垫层、主体框架结构、二次结构的砼浇筑、养护(含养护用薄膜、土工布等材料)等；二次浇筑、地面、墙面及水池内瓷砖铺贴，施工缝盖封板安装，脚手架基础场地硬化等；散水坡、台阶等；所有墙体砌筑,使用的各类砖块按文明工地要求堆放整齐、码垛等；屋面及楼地面施工等；内外墙抹灰、及材料场内运输等；所有临建场地及临时道路硬化砌筑等。自备搅拌机、木抹子、铁抹子、扫把、震动棒、平板震动器、手推车等所有辅助工具及材料。</w:t>
      </w:r>
    </w:p>
    <w:p>
      <w:pPr>
        <w:snapToGrid/>
        <w:spacing w:before="0" w:after="0" w:line="400" w:lineRule="exact"/>
        <w:ind w:firstLine="440" w:firstLineChars="200"/>
        <w:jc w:val="both"/>
      </w:pPr>
      <w:r>
        <w:rPr>
          <w:rFonts w:ascii="宋体" w:hAnsi="宋体" w:eastAsia="宋体" w:cs="宋体"/>
          <w:color w:val="000000"/>
        </w:rPr>
        <w:t>8.2  木工承包范围包括但不限于：</w:t>
      </w:r>
    </w:p>
    <w:p>
      <w:pPr>
        <w:snapToGrid/>
        <w:spacing w:before="0" w:after="0" w:line="400" w:lineRule="exact"/>
        <w:ind w:firstLine="440" w:firstLineChars="200"/>
        <w:jc w:val="both"/>
        <w:rPr>
          <w:rFonts w:ascii="宋体" w:hAnsi="宋体" w:eastAsia="宋体" w:cs="宋体"/>
          <w:color w:val="000000"/>
        </w:rPr>
      </w:pPr>
      <w:r>
        <w:rPr>
          <w:rFonts w:ascii="宋体" w:hAnsi="宋体" w:eastAsia="宋体" w:cs="宋体"/>
          <w:color w:val="000000"/>
        </w:rPr>
        <w:t>工程范围内的主体及二次结构所有模板用料、模板支撑加固用料(含模板支撑体系的搭建、拆除，整理归堆，包括钢管、扣件、</w:t>
      </w:r>
      <w:r>
        <w:rPr>
          <w:rFonts w:ascii="宋体" w:hAnsi="宋体" w:eastAsia="宋体" w:cs="宋体"/>
          <w:color w:val="000000"/>
          <w:sz w:val="21"/>
        </w:rPr>
        <w:t>按监理审批通过的方案中的钢管立柱底座，槽钢或通长厚木</w:t>
      </w:r>
      <w:r>
        <w:rPr>
          <w:rFonts w:ascii="宋体" w:hAnsi="宋体" w:eastAsia="宋体" w:cs="宋体"/>
          <w:color w:val="000000"/>
        </w:rPr>
        <w:t>板。)铁钉、铁丝、步步紧、对拉螺栓、止水螺杆等材料；模板配制、拼装、修正、清理刷涂膜剂、现场运输、分类堆放等木工所有工序人工。木工圆盘锯、手据、电钻、扳手等小型工器具等所有辅助工具及材料</w:t>
      </w:r>
      <w:r>
        <w:rPr>
          <w:rFonts w:hint="eastAsia" w:ascii="宋体" w:hAnsi="宋体" w:eastAsia="宋体" w:cs="宋体"/>
          <w:color w:val="000000"/>
        </w:rPr>
        <w:t>；</w:t>
      </w:r>
      <w:r>
        <w:rPr>
          <w:rFonts w:ascii="宋体" w:hAnsi="宋体" w:eastAsia="宋体" w:cs="宋体"/>
          <w:color w:val="000000"/>
        </w:rPr>
        <w:t>后浇带、人货电梯、成品砂浆桶、消防水池等单独支模，止水钢板两侧钢丝网封堵，施工缝处止水条粘贴、止水带安装</w:t>
      </w:r>
      <w:r>
        <w:rPr>
          <w:rFonts w:hint="eastAsia" w:ascii="宋体" w:hAnsi="宋体" w:eastAsia="宋体" w:cs="宋体"/>
          <w:color w:val="000000"/>
        </w:rPr>
        <w:t>。</w:t>
      </w:r>
      <w:r>
        <w:rPr>
          <w:rFonts w:ascii="宋体" w:hAnsi="宋体" w:eastAsia="宋体" w:cs="宋体"/>
          <w:color w:val="000000"/>
        </w:rPr>
        <w:t>招标人不提供任何木工材料。</w:t>
      </w:r>
    </w:p>
    <w:p>
      <w:pPr>
        <w:snapToGrid/>
        <w:spacing w:before="0" w:after="0" w:line="400" w:lineRule="exact"/>
        <w:ind w:firstLine="440" w:firstLineChars="200"/>
        <w:jc w:val="both"/>
        <w:rPr>
          <w:rFonts w:ascii="宋体" w:hAnsi="宋体" w:eastAsia="宋体" w:cs="宋体"/>
          <w:color w:val="000000"/>
        </w:rPr>
      </w:pPr>
      <w:r>
        <w:rPr>
          <w:rFonts w:ascii="宋体" w:hAnsi="宋体" w:eastAsia="宋体" w:cs="宋体"/>
          <w:color w:val="000000"/>
        </w:rPr>
        <w:t>8.3  钢筋工承包范围包括但不限于：</w:t>
      </w:r>
    </w:p>
    <w:p>
      <w:pPr>
        <w:snapToGrid/>
        <w:spacing w:before="0" w:after="0" w:line="400" w:lineRule="exact"/>
        <w:ind w:firstLine="440" w:firstLineChars="200"/>
        <w:jc w:val="both"/>
        <w:rPr>
          <w:rFonts w:ascii="宋体" w:hAnsi="宋体" w:eastAsia="宋体" w:cs="宋体"/>
          <w:color w:val="000000"/>
        </w:rPr>
      </w:pPr>
      <w:r>
        <w:rPr>
          <w:rFonts w:ascii="宋体" w:hAnsi="宋体" w:eastAsia="宋体" w:cs="宋体"/>
          <w:color w:val="000000"/>
        </w:rPr>
        <w:t>工程范围内钢筋制作、绑扎面基层清理、划线、绑扎、校正、焊接、电碴压力焊、套筒</w:t>
      </w:r>
      <w:r>
        <w:rPr>
          <w:rFonts w:hint="eastAsia" w:ascii="宋体" w:hAnsi="宋体" w:eastAsia="宋体" w:cs="宋体"/>
          <w:color w:val="000000"/>
        </w:rPr>
        <w:t>（劳务自备材料）</w:t>
      </w:r>
      <w:r>
        <w:rPr>
          <w:rFonts w:ascii="宋体" w:hAnsi="宋体" w:eastAsia="宋体" w:cs="宋体"/>
          <w:color w:val="000000"/>
        </w:rPr>
        <w:t>联接及扎丝、垫块等辅材；止水钢板、预埋件等安装；钢筋切断机、调直机、切割机、焊机、套丝机等钢筋加工机具；原材料、半成品、成品等材料的现场水平、垂直运输及工作面上的水平运输，并按文明工地要求分类标识、堆放整齐、码垛，钢筋加工场地，堆放场地及工作面应保持工完场清，做到下垫上盖、整齐，清洁</w:t>
      </w:r>
      <w:r>
        <w:rPr>
          <w:rFonts w:hint="eastAsia" w:ascii="宋体" w:hAnsi="宋体" w:eastAsia="宋体" w:cs="宋体"/>
          <w:color w:val="000000"/>
        </w:rPr>
        <w:t>；</w:t>
      </w:r>
      <w:r>
        <w:rPr>
          <w:rFonts w:ascii="宋体" w:hAnsi="宋体" w:eastAsia="宋体" w:cs="宋体"/>
          <w:color w:val="000000"/>
        </w:rPr>
        <w:t>不同标号砼分隔处理</w:t>
      </w:r>
      <w:r>
        <w:rPr>
          <w:rFonts w:hint="eastAsia" w:ascii="宋体" w:hAnsi="宋体" w:eastAsia="宋体" w:cs="宋体"/>
          <w:color w:val="000000"/>
        </w:rPr>
        <w:t>。</w:t>
      </w:r>
      <w:r>
        <w:rPr>
          <w:rFonts w:ascii="宋体" w:hAnsi="宋体" w:eastAsia="宋体" w:cs="宋体"/>
          <w:color w:val="000000"/>
        </w:rPr>
        <w:t>招标人只提供钢筋、止水钢板。</w:t>
      </w:r>
    </w:p>
    <w:p>
      <w:pPr>
        <w:snapToGrid/>
        <w:spacing w:before="0" w:after="0" w:line="400" w:lineRule="exact"/>
        <w:ind w:firstLine="440" w:firstLineChars="200"/>
        <w:jc w:val="both"/>
      </w:pPr>
      <w:r>
        <w:rPr>
          <w:rFonts w:ascii="宋体" w:hAnsi="宋体" w:eastAsia="宋体" w:cs="宋体"/>
          <w:color w:val="000000"/>
        </w:rPr>
        <w:t>8.4  水电工承包范围包括但不限于：</w:t>
      </w:r>
    </w:p>
    <w:p>
      <w:pPr>
        <w:snapToGrid/>
        <w:spacing w:before="0" w:after="0" w:line="400" w:lineRule="exact"/>
        <w:ind w:firstLine="440" w:firstLineChars="200"/>
        <w:jc w:val="both"/>
      </w:pPr>
      <w:r>
        <w:rPr>
          <w:rFonts w:ascii="宋体" w:hAnsi="宋体" w:eastAsia="宋体" w:cs="宋体"/>
          <w:color w:val="000000"/>
        </w:rPr>
        <w:t>8.4.1  电气工程：穿线管、线盒、开关盒预埋；配电箱安装、</w:t>
      </w:r>
      <w:r>
        <w:rPr>
          <w:rFonts w:hint="eastAsia" w:ascii="宋体" w:hAnsi="宋体" w:eastAsia="宋体" w:cs="宋体"/>
          <w:color w:val="000000"/>
          <w:lang w:val="en-US" w:eastAsia="zh-CN"/>
        </w:rPr>
        <w:t>所有</w:t>
      </w:r>
      <w:r>
        <w:rPr>
          <w:rFonts w:ascii="宋体" w:hAnsi="宋体" w:eastAsia="宋体" w:cs="宋体"/>
          <w:color w:val="000000"/>
        </w:rPr>
        <w:t>桥架</w:t>
      </w:r>
      <w:r>
        <w:rPr>
          <w:rFonts w:ascii="宋体" w:hAnsi="宋体" w:eastAsia="宋体" w:cs="宋体"/>
          <w:color w:val="0000FF"/>
        </w:rPr>
        <w:t>、</w:t>
      </w:r>
      <w:r>
        <w:rPr>
          <w:rFonts w:ascii="宋体" w:hAnsi="宋体" w:eastAsia="宋体" w:cs="宋体"/>
          <w:color w:val="000000"/>
        </w:rPr>
        <w:t>线缆穿线、照明器具、开关插座安装、接线、调试；防雷接地线敷设、测试；墙面开槽、修补及扎带、胶带、包布等辅材和工具器。招标人只提供线缆、线管、管接头、线盒、用电设备等主材。</w:t>
      </w:r>
      <w:bookmarkStart w:id="0" w:name="_GoBack"/>
      <w:bookmarkEnd w:id="0"/>
    </w:p>
    <w:p>
      <w:pPr>
        <w:snapToGrid/>
        <w:spacing w:before="0" w:after="0" w:line="400" w:lineRule="exact"/>
        <w:ind w:firstLine="440" w:firstLineChars="200"/>
        <w:jc w:val="both"/>
      </w:pPr>
      <w:r>
        <w:rPr>
          <w:rFonts w:ascii="宋体" w:hAnsi="宋体" w:eastAsia="宋体" w:cs="宋体"/>
          <w:color w:val="000000"/>
        </w:rPr>
        <w:t>8.4.2  给排水工程：工程施工图纸范围内的室内外给水、排水、雨水等系统管道预留、预埋、管道辅设、卫生器具安装、水压及通水试验及胶水、胶带、铁丝、洞口吊模、热熔机、电钻等工器具。招标人只提供管材、管接头及卫生洁具。</w:t>
      </w:r>
    </w:p>
    <w:p>
      <w:pPr>
        <w:snapToGrid/>
        <w:spacing w:before="0" w:after="0" w:line="400" w:lineRule="exact"/>
        <w:ind w:firstLine="440" w:firstLineChars="200"/>
        <w:jc w:val="both"/>
      </w:pPr>
      <w:r>
        <w:rPr>
          <w:rFonts w:ascii="宋体" w:hAnsi="宋体" w:eastAsia="宋体" w:cs="宋体"/>
          <w:color w:val="000000"/>
        </w:rPr>
        <w:t>8.4.3  与框架主体一体施工的人防工程预留、预埋工程。</w:t>
      </w:r>
    </w:p>
    <w:p>
      <w:pPr>
        <w:tabs>
          <w:tab w:val="left" w:pos="555"/>
        </w:tabs>
        <w:autoSpaceDE w:val="0"/>
        <w:autoSpaceDN w:val="0"/>
        <w:adjustRightInd w:val="0"/>
        <w:spacing w:line="400" w:lineRule="exact"/>
        <w:ind w:firstLine="440" w:firstLineChars="200"/>
        <w:rPr>
          <w:rFonts w:ascii="宋体" w:hAnsi="宋体" w:eastAsia="宋体" w:cs="宋体"/>
          <w:color w:val="000000"/>
        </w:rPr>
      </w:pPr>
      <w:r>
        <w:rPr>
          <w:rFonts w:hint="eastAsia" w:ascii="宋体" w:hAnsi="宋体" w:eastAsia="宋体" w:cs="宋体"/>
          <w:color w:val="000000"/>
        </w:rPr>
        <w:t>8.4.4  现场临时水电</w:t>
      </w:r>
      <w:r>
        <w:rPr>
          <w:rFonts w:hint="eastAsia" w:ascii="宋体" w:hAnsi="宋体" w:eastAsia="宋体" w:cs="宋体"/>
          <w:color w:val="000000"/>
          <w:lang w:val="en-US" w:eastAsia="zh-CN"/>
        </w:rPr>
        <w:t>布置</w:t>
      </w:r>
      <w:r>
        <w:rPr>
          <w:rFonts w:hint="eastAsia" w:ascii="宋体" w:hAnsi="宋体" w:eastAsia="宋体" w:cs="宋体"/>
          <w:color w:val="000000"/>
        </w:rPr>
        <w:t>及委派至少2名专职电工负责现场临时水电巡查及维护。</w:t>
      </w:r>
    </w:p>
    <w:p>
      <w:pPr>
        <w:snapToGrid/>
        <w:spacing w:before="0" w:after="0" w:line="400" w:lineRule="exact"/>
        <w:ind w:firstLine="440" w:firstLineChars="200"/>
        <w:jc w:val="both"/>
        <w:rPr>
          <w:rFonts w:ascii="宋体" w:hAnsi="宋体" w:eastAsia="宋体" w:cs="宋体"/>
          <w:color w:val="000000"/>
        </w:rPr>
      </w:pPr>
      <w:r>
        <w:rPr>
          <w:rFonts w:ascii="宋体" w:hAnsi="宋体" w:eastAsia="宋体" w:cs="宋体"/>
          <w:color w:val="000000"/>
        </w:rPr>
        <w:t>8.</w:t>
      </w:r>
      <w:r>
        <w:rPr>
          <w:rFonts w:hint="eastAsia" w:ascii="宋体" w:hAnsi="宋体" w:eastAsia="宋体" w:cs="宋体"/>
          <w:color w:val="000000"/>
        </w:rPr>
        <w:t>5架子工承包范围包括但不限于：</w:t>
      </w:r>
    </w:p>
    <w:p>
      <w:pPr>
        <w:tabs>
          <w:tab w:val="left" w:pos="555"/>
        </w:tabs>
        <w:autoSpaceDE w:val="0"/>
        <w:autoSpaceDN w:val="0"/>
        <w:adjustRightInd w:val="0"/>
        <w:spacing w:line="400" w:lineRule="exact"/>
        <w:ind w:firstLine="440" w:firstLineChars="200"/>
        <w:rPr>
          <w:rFonts w:ascii="宋体" w:hAnsi="宋体" w:eastAsia="宋体" w:cs="宋体"/>
          <w:color w:val="000000"/>
        </w:rPr>
      </w:pPr>
      <w:r>
        <w:rPr>
          <w:rFonts w:hint="eastAsia" w:ascii="宋体" w:hAnsi="宋体" w:eastAsia="宋体" w:cs="宋体"/>
          <w:color w:val="000000" w:themeColor="text1"/>
        </w:rPr>
        <w:t>按监理单位审批通过的专项方案进行外脚手架搭拆、安全网、接料平台、现场安全通道、基坑安全防护、基坑上下人员通道（笼梯招标人自行采购，现场移动及安装由中标人负责、笼梯出口处通道由中标人搭设）及所有安全防护设施搭拆（均含材料），验收应符合按《建筑施工扣件式钢管脚手架安全技术规范》及《建筑</w:t>
      </w:r>
      <w:r>
        <w:rPr>
          <w:rFonts w:hint="eastAsia" w:ascii="宋体" w:hAnsi="宋体" w:eastAsia="宋体" w:cs="宋体"/>
          <w:color w:val="000000"/>
        </w:rPr>
        <w:t>施工盘扣式钢管脚手架安全技术规范》（JGJ-130-2011）及淮南地方相关规定。</w:t>
      </w:r>
    </w:p>
    <w:p>
      <w:pPr>
        <w:tabs>
          <w:tab w:val="left" w:pos="555"/>
        </w:tabs>
        <w:autoSpaceDE w:val="0"/>
        <w:autoSpaceDN w:val="0"/>
        <w:adjustRightInd w:val="0"/>
        <w:spacing w:line="400" w:lineRule="exact"/>
        <w:ind w:firstLine="440" w:firstLineChars="200"/>
        <w:rPr>
          <w:rFonts w:ascii="宋体" w:hAnsi="宋体" w:eastAsia="宋体" w:cs="宋体"/>
          <w:color w:val="000000"/>
        </w:rPr>
      </w:pPr>
      <w:r>
        <w:rPr>
          <w:rFonts w:hint="eastAsia" w:ascii="宋体" w:hAnsi="宋体" w:eastAsia="宋体" w:cs="宋体"/>
          <w:color w:val="000000"/>
        </w:rPr>
        <w:t>8.6其它工程承包范围包括但不限于：</w:t>
      </w:r>
    </w:p>
    <w:p>
      <w:pPr>
        <w:tabs>
          <w:tab w:val="left" w:pos="555"/>
        </w:tabs>
        <w:autoSpaceDE w:val="0"/>
        <w:autoSpaceDN w:val="0"/>
        <w:adjustRightInd w:val="0"/>
        <w:spacing w:line="400" w:lineRule="exact"/>
        <w:ind w:firstLine="440" w:firstLineChars="200"/>
        <w:rPr>
          <w:rFonts w:ascii="宋体" w:hAnsi="宋体" w:eastAsia="宋体" w:cs="宋体"/>
          <w:color w:val="000000"/>
        </w:rPr>
      </w:pPr>
      <w:r>
        <w:rPr>
          <w:rFonts w:hint="eastAsia" w:ascii="宋体" w:hAnsi="宋体" w:eastAsia="宋体" w:cs="宋体"/>
          <w:color w:val="000000"/>
        </w:rPr>
        <w:t>8.6.1  文明施工：施工现场临时设施、安全文明施工所用人工、器具、辅材；塔吊及人货电梯安全防护；施工过程中安全文明施工管理及卫生保洁，雨鞋、雨衣、手套、安全带、安全帽等劳保用品投入。为便于现场管理，安全帽需由招标人集中采购，投标人从招标人项目部领用，费用在劳务结算中扣除，现场文明施工必须达到省级标化工地要求。</w:t>
      </w:r>
    </w:p>
    <w:p>
      <w:pPr>
        <w:tabs>
          <w:tab w:val="left" w:pos="555"/>
        </w:tabs>
        <w:autoSpaceDE w:val="0"/>
        <w:autoSpaceDN w:val="0"/>
        <w:adjustRightInd w:val="0"/>
        <w:spacing w:line="400" w:lineRule="exact"/>
        <w:ind w:firstLine="440" w:firstLineChars="200"/>
        <w:rPr>
          <w:rFonts w:ascii="宋体" w:hAnsi="宋体" w:eastAsia="宋体" w:cs="宋体"/>
          <w:color w:val="000000"/>
        </w:rPr>
      </w:pPr>
      <w:r>
        <w:rPr>
          <w:rFonts w:hint="eastAsia" w:ascii="宋体" w:hAnsi="宋体" w:eastAsia="宋体" w:cs="宋体"/>
          <w:color w:val="000000"/>
        </w:rPr>
        <w:t>中标单位必须配备3名杂工用于现场文明施工，由招标人统一管理（杂工进场时间：中标单位进场至工程竣工验收）。</w:t>
      </w:r>
    </w:p>
    <w:p>
      <w:pPr>
        <w:tabs>
          <w:tab w:val="left" w:pos="555"/>
        </w:tabs>
        <w:autoSpaceDE w:val="0"/>
        <w:autoSpaceDN w:val="0"/>
        <w:adjustRightInd w:val="0"/>
        <w:spacing w:line="400" w:lineRule="exact"/>
        <w:ind w:firstLine="440" w:firstLineChars="200"/>
        <w:rPr>
          <w:rFonts w:ascii="宋体" w:hAnsi="宋体" w:eastAsia="宋体" w:cs="宋体"/>
          <w:color w:val="000000"/>
        </w:rPr>
      </w:pPr>
      <w:r>
        <w:rPr>
          <w:rFonts w:hint="eastAsia" w:ascii="宋体" w:hAnsi="宋体" w:eastAsia="宋体" w:cs="宋体"/>
          <w:color w:val="000000"/>
        </w:rPr>
        <w:t>8.6.2垂直运输：包括塔吊、人货电梯的租赁费、维修保养费用、安拆费及持证操作人员。</w:t>
      </w:r>
    </w:p>
    <w:p>
      <w:pPr>
        <w:tabs>
          <w:tab w:val="left" w:pos="555"/>
        </w:tabs>
        <w:autoSpaceDE w:val="0"/>
        <w:autoSpaceDN w:val="0"/>
        <w:adjustRightInd w:val="0"/>
        <w:spacing w:line="400" w:lineRule="exact"/>
        <w:ind w:firstLine="440" w:firstLineChars="200"/>
        <w:rPr>
          <w:rFonts w:ascii="宋体" w:hAnsi="宋体" w:eastAsia="宋体" w:cs="宋体"/>
          <w:color w:val="000000"/>
        </w:rPr>
      </w:pPr>
      <w:r>
        <w:rPr>
          <w:rFonts w:hint="eastAsia" w:ascii="宋体" w:hAnsi="宋体" w:eastAsia="宋体" w:cs="宋体"/>
          <w:color w:val="000000"/>
        </w:rPr>
        <w:t>8.7投标人负责劳务承包范围内所有工程材料（包括需人工卸车的所有材料）的卸车、收发（堆放）、保管。</w:t>
      </w:r>
    </w:p>
    <w:p>
      <w:pPr>
        <w:tabs>
          <w:tab w:val="left" w:pos="555"/>
        </w:tabs>
        <w:autoSpaceDE w:val="0"/>
        <w:autoSpaceDN w:val="0"/>
        <w:adjustRightInd w:val="0"/>
        <w:spacing w:line="400" w:lineRule="exact"/>
        <w:ind w:firstLine="440" w:firstLineChars="200"/>
        <w:rPr>
          <w:rFonts w:ascii="宋体" w:hAnsi="宋体" w:eastAsia="宋体" w:cs="宋体"/>
          <w:color w:val="000000"/>
        </w:rPr>
      </w:pPr>
      <w:r>
        <w:rPr>
          <w:rFonts w:hint="eastAsia" w:ascii="宋体" w:hAnsi="宋体" w:eastAsia="宋体" w:cs="宋体"/>
          <w:color w:val="000000"/>
        </w:rPr>
        <w:t>第九条管理目标与要求：</w:t>
      </w:r>
    </w:p>
    <w:p>
      <w:pPr>
        <w:snapToGrid/>
        <w:spacing w:before="0" w:after="0" w:line="400" w:lineRule="exact"/>
        <w:ind w:firstLine="442" w:firstLineChars="200"/>
        <w:jc w:val="both"/>
      </w:pPr>
      <w:r>
        <w:rPr>
          <w:rFonts w:ascii="宋体" w:hAnsi="宋体" w:eastAsia="宋体" w:cs="宋体"/>
          <w:b/>
          <w:color w:val="000000"/>
        </w:rPr>
        <w:t>9.1 工程质量要求:</w:t>
      </w:r>
      <w:r>
        <w:rPr>
          <w:rFonts w:ascii="宋体" w:hAnsi="宋体" w:eastAsia="宋体" w:cs="宋体"/>
          <w:color w:val="000000"/>
        </w:rPr>
        <w:t>优良（达到黄山杯标准）。</w:t>
      </w:r>
    </w:p>
    <w:p>
      <w:pPr>
        <w:snapToGrid/>
        <w:spacing w:before="0" w:after="0" w:line="400" w:lineRule="exact"/>
        <w:ind w:firstLine="440" w:firstLineChars="200"/>
        <w:jc w:val="both"/>
      </w:pPr>
      <w:r>
        <w:rPr>
          <w:rFonts w:ascii="宋体" w:hAnsi="宋体" w:eastAsia="宋体" w:cs="宋体"/>
          <w:color w:val="000000"/>
        </w:rPr>
        <w:t>9.1.1. 工程应达到设计图纸要求及约定质量标准和质量目标。如图纸、招标人指令和国家及当地政府施工验收规范，标准之间有差异或不一致时，投标人应在取得招标人书面认可后，以质量要求较高者为施工依据。</w:t>
      </w:r>
    </w:p>
    <w:p>
      <w:pPr>
        <w:snapToGrid/>
        <w:spacing w:before="0" w:after="0" w:line="400" w:lineRule="exact"/>
        <w:ind w:firstLine="440" w:firstLineChars="200"/>
        <w:jc w:val="both"/>
      </w:pPr>
      <w:r>
        <w:rPr>
          <w:rFonts w:ascii="宋体" w:hAnsi="宋体" w:eastAsia="宋体" w:cs="宋体"/>
          <w:color w:val="000000"/>
        </w:rPr>
        <w:t>9.1.2. 投标人必须按照国家规定的质量标准、施工验收规范和施工图组织施工。在施工中发现设计有误，须立即向招标人提出，取得书面变更洽商手续后方可继续施工。因招标人原因造成窝工的,工期予以顺延，因投标人原因造成窝工的，工期不顺延，发生的费用由投标人承担。</w:t>
      </w:r>
    </w:p>
    <w:p>
      <w:pPr>
        <w:snapToGrid/>
        <w:spacing w:before="0" w:after="0" w:line="400" w:lineRule="exact"/>
        <w:ind w:firstLine="440" w:firstLineChars="200"/>
        <w:jc w:val="both"/>
      </w:pPr>
      <w:r>
        <w:rPr>
          <w:rFonts w:ascii="宋体" w:hAnsi="宋体" w:eastAsia="宋体" w:cs="宋体"/>
          <w:color w:val="000000"/>
        </w:rPr>
        <w:t>9.1.3  在施工过程中投标人每完成一道隐蔽工程工序应由招标人和监理人员验收，若超过48小时（工作时间）验收人员不能到场验收即视为合格自行隐蔽，但招标人认为不合格要求检查，投标人必须配合，检查合格所造成的返工费用由招标人负责，检查不合格的，其返工费用由投标人负责。</w:t>
      </w:r>
    </w:p>
    <w:p>
      <w:pPr>
        <w:snapToGrid/>
        <w:spacing w:before="0" w:after="0" w:line="400" w:lineRule="exact"/>
        <w:ind w:firstLine="440" w:firstLineChars="200"/>
        <w:jc w:val="both"/>
      </w:pPr>
      <w:r>
        <w:rPr>
          <w:rFonts w:ascii="宋体" w:hAnsi="宋体" w:eastAsia="宋体" w:cs="宋体"/>
          <w:color w:val="000000"/>
        </w:rPr>
        <w:t>9.1.4  在施工过程中由招标人、业主及监理发现工程</w:t>
      </w:r>
      <w:r>
        <w:rPr>
          <w:rFonts w:ascii="宋体" w:hAnsi="宋体" w:eastAsia="宋体" w:cs="宋体"/>
          <w:color w:val="000000" w:themeColor="text1"/>
        </w:rPr>
        <w:t>质量问题，视为中标单位违约行为，根据情节轻重中标单位需缴纳500～10000元违约金，违约金从履约保证金中扣除，对履犯不改的第二次两倍、第三次四倍……以此类推，所有违约金从履约保证金中扣除。</w:t>
      </w:r>
    </w:p>
    <w:p>
      <w:pPr>
        <w:snapToGrid/>
        <w:spacing w:before="0" w:after="0" w:line="400" w:lineRule="exact"/>
        <w:ind w:firstLine="442" w:firstLineChars="200"/>
        <w:jc w:val="both"/>
        <w:rPr>
          <w:rFonts w:ascii="宋体" w:hAnsi="宋体" w:eastAsia="宋体" w:cs="宋体"/>
          <w:color w:val="000000"/>
        </w:rPr>
      </w:pPr>
      <w:r>
        <w:rPr>
          <w:rFonts w:ascii="宋体" w:hAnsi="宋体" w:eastAsia="宋体" w:cs="宋体"/>
          <w:b/>
          <w:color w:val="000000"/>
        </w:rPr>
        <w:t xml:space="preserve">9.2  </w:t>
      </w:r>
      <w:r>
        <w:rPr>
          <w:rFonts w:ascii="宋体" w:hAnsi="宋体" w:eastAsia="宋体" w:cs="宋体"/>
          <w:color w:val="000000"/>
        </w:rPr>
        <w:t>劳务分包工期要求:总工期:</w:t>
      </w:r>
      <w:r>
        <w:rPr>
          <w:rFonts w:ascii="宋体" w:hAnsi="宋体" w:eastAsia="宋体" w:cs="宋体"/>
          <w:color w:val="000000"/>
          <w:u w:val="single"/>
        </w:rPr>
        <w:t>600</w:t>
      </w:r>
      <w:r>
        <w:rPr>
          <w:rFonts w:ascii="宋体" w:hAnsi="宋体" w:eastAsia="宋体" w:cs="宋体"/>
          <w:color w:val="000000"/>
        </w:rPr>
        <w:t>日历天,并在第</w:t>
      </w:r>
      <w:r>
        <w:rPr>
          <w:rFonts w:ascii="宋体" w:hAnsi="宋体" w:eastAsia="宋体" w:cs="宋体"/>
          <w:color w:val="000000"/>
          <w:u w:val="single"/>
        </w:rPr>
        <w:t>300</w:t>
      </w:r>
      <w:r>
        <w:rPr>
          <w:rFonts w:ascii="宋体" w:hAnsi="宋体" w:eastAsia="宋体" w:cs="宋体"/>
          <w:color w:val="000000"/>
        </w:rPr>
        <w:t>日历天前将全部地下室施工至正负零;在第</w:t>
      </w:r>
      <w:r>
        <w:rPr>
          <w:rFonts w:ascii="宋体" w:hAnsi="宋体" w:eastAsia="宋体" w:cs="宋体"/>
          <w:color w:val="000000"/>
          <w:u w:val="single"/>
        </w:rPr>
        <w:t>450</w:t>
      </w:r>
      <w:r>
        <w:rPr>
          <w:rFonts w:ascii="宋体" w:hAnsi="宋体" w:eastAsia="宋体" w:cs="宋体"/>
          <w:color w:val="000000"/>
        </w:rPr>
        <w:t>日历天前完成所有楼栋主体结构;在第</w:t>
      </w:r>
      <w:r>
        <w:rPr>
          <w:rFonts w:ascii="宋体" w:hAnsi="宋体" w:eastAsia="宋体" w:cs="宋体"/>
          <w:color w:val="000000"/>
          <w:u w:val="single"/>
        </w:rPr>
        <w:t>600</w:t>
      </w:r>
      <w:r>
        <w:rPr>
          <w:rFonts w:ascii="宋体" w:hAnsi="宋体" w:eastAsia="宋体" w:cs="宋体"/>
          <w:color w:val="000000"/>
        </w:rPr>
        <w:t>日历天前达到竣工验收标准;开工时间为双方合同签订之日,其中6#楼地下室开工时间暂定2024年6月20日(具体以招标方书面通知为</w:t>
      </w:r>
      <w:r>
        <w:rPr>
          <w:rFonts w:hint="eastAsia" w:ascii="宋体" w:hAnsi="宋体" w:eastAsia="宋体" w:cs="宋体"/>
          <w:color w:val="000000"/>
          <w:lang w:val="en-US" w:eastAsia="zh-CN"/>
        </w:rPr>
        <w:t>准</w:t>
      </w:r>
      <w:r>
        <w:rPr>
          <w:rFonts w:hint="eastAsia" w:ascii="宋体" w:hAnsi="宋体" w:eastAsia="宋体" w:cs="宋体"/>
          <w:color w:val="000000"/>
          <w:lang w:eastAsia="zh-CN"/>
        </w:rPr>
        <w:t>）</w:t>
      </w:r>
      <w:r>
        <w:rPr>
          <w:rFonts w:ascii="宋体" w:hAnsi="宋体" w:eastAsia="宋体" w:cs="宋体"/>
          <w:color w:val="000000"/>
        </w:rPr>
        <w:t>，6#楼地下室出地面时间为2024年8月10日,主体结构封顶时间为2024年11月1</w:t>
      </w:r>
      <w:r>
        <w:rPr>
          <w:rFonts w:hint="eastAsia" w:ascii="宋体" w:hAnsi="宋体" w:eastAsia="宋体" w:cs="宋体"/>
          <w:color w:val="000000"/>
          <w:lang w:val="en-US" w:eastAsia="zh-CN"/>
        </w:rPr>
        <w:t>0</w:t>
      </w:r>
      <w:r>
        <w:rPr>
          <w:rFonts w:ascii="宋体" w:hAnsi="宋体" w:eastAsia="宋体" w:cs="宋体"/>
          <w:color w:val="000000"/>
        </w:rPr>
        <w:t>日，整楼移交时间为2025年11月1日</w:t>
      </w:r>
    </w:p>
    <w:p>
      <w:pPr>
        <w:snapToGrid/>
        <w:spacing w:before="0" w:after="0" w:line="400" w:lineRule="exact"/>
        <w:ind w:firstLine="440" w:firstLineChars="200"/>
        <w:jc w:val="both"/>
      </w:pPr>
      <w:r>
        <w:rPr>
          <w:rFonts w:ascii="宋体" w:hAnsi="宋体" w:eastAsia="宋体" w:cs="宋体"/>
          <w:color w:val="000000"/>
        </w:rPr>
        <w:t>9.2.1  6#楼施工工期较紧会出现赶工或夜间加班情况，中标单位需无条件满足招标单位赶工需求，且不得以此为由索要赶工及夜间施工费用。所有</w:t>
      </w:r>
      <w:r>
        <w:rPr>
          <w:rFonts w:hint="eastAsia" w:ascii="宋体" w:hAnsi="宋体" w:eastAsia="宋体" w:cs="宋体"/>
          <w:color w:val="000000"/>
        </w:rPr>
        <w:t>楼栋</w:t>
      </w:r>
      <w:r>
        <w:rPr>
          <w:rFonts w:ascii="宋体" w:hAnsi="宋体" w:eastAsia="宋体" w:cs="宋体"/>
          <w:color w:val="000000"/>
        </w:rPr>
        <w:t>措施费用及夜间施工费等所有费用</w:t>
      </w:r>
      <w:r>
        <w:rPr>
          <w:rFonts w:hint="eastAsia" w:ascii="宋体" w:hAnsi="宋体" w:eastAsia="宋体" w:cs="宋体"/>
          <w:color w:val="000000"/>
        </w:rPr>
        <w:t>均以</w:t>
      </w:r>
      <w:r>
        <w:rPr>
          <w:rFonts w:ascii="宋体" w:hAnsi="宋体" w:eastAsia="宋体" w:cs="宋体"/>
          <w:color w:val="000000"/>
        </w:rPr>
        <w:t>含在综合单价中。部分楼栋可能需要延期开工</w:t>
      </w:r>
      <w:r>
        <w:rPr>
          <w:rFonts w:hint="eastAsia" w:ascii="宋体" w:hAnsi="宋体" w:eastAsia="宋体" w:cs="宋体"/>
          <w:color w:val="000000"/>
        </w:rPr>
        <w:t>以</w:t>
      </w:r>
      <w:r>
        <w:rPr>
          <w:rFonts w:ascii="宋体" w:hAnsi="宋体" w:eastAsia="宋体" w:cs="宋体"/>
          <w:color w:val="000000"/>
        </w:rPr>
        <w:t>招标人发布开工停工令为准。</w:t>
      </w:r>
    </w:p>
    <w:p>
      <w:pPr>
        <w:snapToGrid/>
        <w:spacing w:before="0" w:after="0" w:line="400" w:lineRule="exact"/>
        <w:ind w:firstLine="440" w:firstLineChars="200"/>
        <w:jc w:val="both"/>
      </w:pPr>
      <w:r>
        <w:rPr>
          <w:rFonts w:ascii="宋体" w:hAnsi="宋体" w:eastAsia="宋体" w:cs="宋体"/>
          <w:color w:val="000000"/>
        </w:rPr>
        <w:t>9.2.2投标方以招标方工程进度计划为依据，必须确保各阶段计划地实现。</w:t>
      </w:r>
    </w:p>
    <w:p>
      <w:pPr>
        <w:snapToGrid/>
        <w:spacing w:before="0" w:after="0" w:line="400" w:lineRule="exact"/>
        <w:ind w:firstLine="440" w:firstLineChars="200"/>
        <w:jc w:val="both"/>
      </w:pPr>
      <w:r>
        <w:rPr>
          <w:rFonts w:ascii="宋体" w:hAnsi="宋体" w:eastAsia="宋体" w:cs="宋体"/>
          <w:color w:val="000000"/>
        </w:rPr>
        <w:t>9.2.3  对于以下原因造成推迟工期的，经招标人确认，工期相应顺延。</w:t>
      </w:r>
    </w:p>
    <w:p>
      <w:pPr>
        <w:snapToGrid/>
        <w:spacing w:before="0" w:after="0" w:line="400" w:lineRule="exact"/>
        <w:ind w:firstLine="440" w:firstLineChars="200"/>
        <w:jc w:val="both"/>
      </w:pPr>
      <w:r>
        <w:rPr>
          <w:rFonts w:ascii="宋体" w:hAnsi="宋体" w:eastAsia="宋体" w:cs="宋体"/>
          <w:color w:val="000000"/>
        </w:rPr>
        <w:t>a. 因战争、动乱、自然灾害或非招标人、投标人责任造成的爆炸、火灾等不可抗力；</w:t>
      </w:r>
    </w:p>
    <w:p>
      <w:pPr>
        <w:snapToGrid/>
        <w:spacing w:before="0" w:after="0" w:line="400" w:lineRule="exact"/>
        <w:ind w:firstLine="440" w:firstLineChars="200"/>
        <w:jc w:val="both"/>
      </w:pPr>
      <w:r>
        <w:rPr>
          <w:rFonts w:ascii="宋体" w:hAnsi="宋体" w:eastAsia="宋体" w:cs="宋体"/>
          <w:color w:val="000000"/>
        </w:rPr>
        <w:t>b. 投标人以书面形式提出申请，但仍未能从招标方获得施工批示、工程材料、图纸等，致使施工不能正常进行的；</w:t>
      </w:r>
    </w:p>
    <w:p>
      <w:pPr>
        <w:snapToGrid/>
        <w:spacing w:before="0" w:after="0" w:line="400" w:lineRule="exact"/>
        <w:ind w:firstLine="440" w:firstLineChars="200"/>
        <w:jc w:val="both"/>
      </w:pPr>
      <w:r>
        <w:rPr>
          <w:rFonts w:ascii="宋体" w:hAnsi="宋体" w:eastAsia="宋体" w:cs="宋体"/>
          <w:color w:val="000000"/>
        </w:rPr>
        <w:t>c. 招标人同意工期顺延的其他情况。</w:t>
      </w:r>
    </w:p>
    <w:p>
      <w:pPr>
        <w:snapToGrid/>
        <w:spacing w:before="0" w:after="0" w:line="400" w:lineRule="exact"/>
        <w:ind w:firstLine="440" w:firstLineChars="200"/>
        <w:jc w:val="both"/>
      </w:pPr>
      <w:r>
        <w:rPr>
          <w:rFonts w:ascii="宋体" w:hAnsi="宋体" w:eastAsia="宋体" w:cs="宋体"/>
          <w:color w:val="000000"/>
        </w:rPr>
        <w:t>9.2.4投标人应在上述情况发生后</w:t>
      </w:r>
      <w:r>
        <w:rPr>
          <w:rFonts w:ascii="宋体" w:hAnsi="宋体" w:eastAsia="宋体" w:cs="宋体"/>
          <w:color w:val="000000"/>
          <w:u w:val="single"/>
        </w:rPr>
        <w:t>1</w:t>
      </w:r>
      <w:r>
        <w:rPr>
          <w:rFonts w:ascii="宋体" w:hAnsi="宋体" w:eastAsia="宋体" w:cs="宋体"/>
          <w:color w:val="000000"/>
        </w:rPr>
        <w:t>日内，就延误内容和因此产生的经济支出向招标人提出书面报告，招标人应于</w:t>
      </w:r>
      <w:r>
        <w:rPr>
          <w:rFonts w:ascii="宋体" w:hAnsi="宋体" w:eastAsia="宋体" w:cs="宋体"/>
          <w:color w:val="000000"/>
          <w:u w:val="single"/>
        </w:rPr>
        <w:t xml:space="preserve"> 2 </w:t>
      </w:r>
      <w:r>
        <w:rPr>
          <w:rFonts w:ascii="宋体" w:hAnsi="宋体" w:eastAsia="宋体" w:cs="宋体"/>
          <w:color w:val="000000"/>
        </w:rPr>
        <w:t>日内就延长完工期限和赔偿经济损失给予书面答复。投标人逾期未提出书面报告的，视为其放弃此项权利；招标人逾期未答复也不提出修改意见，视为其承认此事实。</w:t>
      </w:r>
    </w:p>
    <w:p>
      <w:pPr>
        <w:snapToGrid/>
        <w:spacing w:before="0" w:after="0" w:line="400" w:lineRule="exact"/>
        <w:ind w:firstLine="440" w:firstLineChars="200"/>
        <w:jc w:val="both"/>
      </w:pPr>
      <w:r>
        <w:rPr>
          <w:rFonts w:ascii="宋体" w:hAnsi="宋体" w:eastAsia="宋体" w:cs="宋体"/>
          <w:color w:val="000000"/>
        </w:rPr>
        <w:t>9.2.5招标人在月度进度验收中第一次发现未完成工程进度，向投标人提出严重警告并责令投标人整改，若出现第二次未完成月度施工计划情况，则按未完成工程量百分比的20%修正合同单价A（如：月完成计划进度的70%，差30%则修改单价为A-A*30%*20%）。若工程总进度按合同工期完成，在完工结算时仍按合同价结算；若未按合同工期完成，完工结算时不再调整已扣除部分价款。</w:t>
      </w:r>
    </w:p>
    <w:p>
      <w:pPr>
        <w:snapToGrid/>
        <w:spacing w:before="0" w:after="0" w:line="400" w:lineRule="exact"/>
        <w:ind w:firstLine="440" w:firstLineChars="200"/>
        <w:jc w:val="both"/>
        <w:rPr>
          <w:color w:val="000000" w:themeColor="text1"/>
        </w:rPr>
      </w:pPr>
      <w:r>
        <w:rPr>
          <w:rFonts w:ascii="宋体" w:hAnsi="宋体" w:eastAsia="宋体" w:cs="宋体"/>
          <w:color w:val="000000" w:themeColor="text1"/>
        </w:rPr>
        <w:t>9.2.6若投标人无故未按工期完工，延迟5日内（包含5日），每天罚款1000元；延迟5日以上15日以下（包含15日），每天罚款2000元；延长15日以上30日以下（包含30日），每天罚款5000元；延长超过30日，每天罚款10000元，</w:t>
      </w:r>
      <w:r>
        <w:rPr>
          <w:rFonts w:hint="eastAsia" w:ascii="宋体" w:hAnsi="宋体" w:eastAsia="宋体" w:cs="宋体"/>
          <w:color w:val="000000" w:themeColor="text1"/>
        </w:rPr>
        <w:t>在关键工作中延长超过40日，招标方有权单方解除合同，由此产生的损失由中标单位自行承担</w:t>
      </w:r>
      <w:r>
        <w:rPr>
          <w:rFonts w:ascii="宋体" w:hAnsi="宋体" w:eastAsia="宋体" w:cs="宋体"/>
          <w:color w:val="000000" w:themeColor="text1"/>
        </w:rPr>
        <w:t>。</w:t>
      </w:r>
    </w:p>
    <w:p>
      <w:pPr>
        <w:snapToGrid/>
        <w:spacing w:before="0" w:after="0" w:line="400" w:lineRule="exact"/>
        <w:ind w:firstLine="442" w:firstLineChars="200"/>
        <w:jc w:val="both"/>
      </w:pPr>
      <w:r>
        <w:rPr>
          <w:rFonts w:ascii="宋体" w:hAnsi="宋体" w:eastAsia="宋体" w:cs="宋体"/>
          <w:b/>
          <w:color w:val="000000"/>
        </w:rPr>
        <w:t>9.3  安全生产要求</w:t>
      </w:r>
      <w:r>
        <w:rPr>
          <w:rFonts w:ascii="宋体" w:hAnsi="宋体" w:eastAsia="宋体" w:cs="宋体"/>
          <w:color w:val="000000"/>
        </w:rPr>
        <w:t>：</w:t>
      </w:r>
    </w:p>
    <w:p>
      <w:pPr>
        <w:snapToGrid/>
        <w:spacing w:before="0" w:after="0" w:line="400" w:lineRule="exact"/>
        <w:ind w:firstLine="440" w:firstLineChars="200"/>
        <w:jc w:val="both"/>
      </w:pPr>
      <w:r>
        <w:rPr>
          <w:rFonts w:ascii="宋体" w:hAnsi="宋体" w:eastAsia="宋体" w:cs="宋体"/>
          <w:color w:val="000000"/>
        </w:rPr>
        <w:t>9.3.1 坚持“安全第一、预防为主、综合治理”安全生产方针，必须做到无重伤以上事故,无重大机械伤害事故，无食物中毒事故，无火警事故。</w:t>
      </w:r>
    </w:p>
    <w:p>
      <w:pPr>
        <w:snapToGrid/>
        <w:spacing w:before="0" w:after="0" w:line="400" w:lineRule="exact"/>
        <w:ind w:firstLine="440" w:firstLineChars="200"/>
        <w:jc w:val="both"/>
      </w:pPr>
      <w:r>
        <w:rPr>
          <w:rFonts w:ascii="宋体" w:hAnsi="宋体" w:eastAsia="宋体" w:cs="宋体"/>
          <w:color w:val="000000"/>
        </w:rPr>
        <w:t>9.3.2 投标人应根据国家关于安全生产的有关规定和要求，严格执行</w:t>
      </w:r>
      <w:r>
        <w:rPr>
          <w:rFonts w:ascii="宋体" w:hAnsi="宋体" w:eastAsia="宋体" w:cs="宋体"/>
          <w:color w:val="000000"/>
          <w:sz w:val="21"/>
        </w:rPr>
        <w:t>《安全生产法》、《建筑法》、《建设工程安全生产管理条例》及招标人的相关管理制度</w:t>
      </w:r>
      <w:r>
        <w:rPr>
          <w:rFonts w:ascii="宋体" w:hAnsi="宋体" w:eastAsia="宋体" w:cs="宋体"/>
          <w:color w:val="000000"/>
        </w:rPr>
        <w:t>，建立健全《安全生产管理体系》和《安全生产责任制》。</w:t>
      </w:r>
    </w:p>
    <w:p>
      <w:pPr>
        <w:snapToGrid/>
        <w:spacing w:before="0" w:after="0" w:line="400" w:lineRule="exact"/>
        <w:ind w:firstLine="440" w:firstLineChars="200"/>
        <w:jc w:val="both"/>
      </w:pPr>
      <w:r>
        <w:rPr>
          <w:rFonts w:ascii="宋体" w:hAnsi="宋体" w:eastAsia="宋体" w:cs="宋体"/>
          <w:color w:val="000000"/>
        </w:rPr>
        <w:t>9.3.3 特殊工种操作人员及各工种操作人员须经有关部门培训后，必须持证上岗。</w:t>
      </w:r>
    </w:p>
    <w:p>
      <w:pPr>
        <w:snapToGrid/>
        <w:spacing w:before="0" w:after="0" w:line="400" w:lineRule="exact"/>
        <w:ind w:firstLine="440" w:firstLineChars="200"/>
        <w:jc w:val="both"/>
      </w:pPr>
      <w:r>
        <w:rPr>
          <w:rFonts w:ascii="宋体" w:hAnsi="宋体" w:eastAsia="宋体" w:cs="宋体"/>
          <w:color w:val="000000"/>
        </w:rPr>
        <w:t>9.3.4 施工现场内使用的各类安全防护用品、用具、设备必须具有有关管理部门颁发的生产许可证的生产厂家的符合有关标准化的合格产品；安装、使用临时用电线路和用电设施、设备的，必须符合有关技术规范和安全操作规程。</w:t>
      </w:r>
    </w:p>
    <w:p>
      <w:pPr>
        <w:snapToGrid/>
        <w:spacing w:before="0" w:after="0" w:line="400" w:lineRule="exact"/>
        <w:ind w:firstLine="440" w:firstLineChars="200"/>
        <w:jc w:val="both"/>
      </w:pPr>
      <w:r>
        <w:rPr>
          <w:rFonts w:ascii="宋体" w:hAnsi="宋体" w:eastAsia="宋体" w:cs="宋体"/>
          <w:color w:val="000000"/>
        </w:rPr>
        <w:t>9.3.5 认真贯彻“预防为主、防消结合”的工作方针。严格执行《中华人民共和国消防法》、《建设工程施工现场消防安全管理规定》和《消防安全操作规程》，建立防火、保卫制度，落实责任、规范施工，保证安全。</w:t>
      </w:r>
    </w:p>
    <w:p>
      <w:pPr>
        <w:snapToGrid/>
        <w:spacing w:before="0" w:after="0" w:line="360" w:lineRule="auto"/>
        <w:ind w:firstLine="358" w:firstLineChars="163"/>
        <w:jc w:val="both"/>
      </w:pPr>
      <w:r>
        <w:rPr>
          <w:rFonts w:ascii="宋体" w:hAnsi="宋体" w:eastAsia="宋体" w:cs="宋体"/>
          <w:color w:val="000000"/>
        </w:rPr>
        <w:t>9.3.6 禁止在施工中违章指挥和违章作业。对可能影响人身安全的作业程序、作业条件、要提出改进意见，有权对违章指挥进行检举和控告。</w:t>
      </w:r>
    </w:p>
    <w:p>
      <w:pPr>
        <w:snapToGrid/>
        <w:spacing w:before="0" w:after="0" w:line="360" w:lineRule="auto"/>
        <w:ind w:firstLine="358" w:firstLineChars="163"/>
        <w:jc w:val="both"/>
      </w:pPr>
      <w:r>
        <w:rPr>
          <w:rFonts w:ascii="宋体" w:hAnsi="宋体" w:eastAsia="宋体" w:cs="宋体"/>
          <w:color w:val="000000"/>
        </w:rPr>
        <w:t>9.3.7 宿舍及生活区管理按照相关规范文件认真执行。</w:t>
      </w:r>
    </w:p>
    <w:p>
      <w:pPr>
        <w:snapToGrid/>
        <w:spacing w:before="0" w:after="0" w:line="400" w:lineRule="exact"/>
        <w:ind w:firstLine="442" w:firstLineChars="200"/>
        <w:jc w:val="both"/>
      </w:pPr>
      <w:r>
        <w:rPr>
          <w:rFonts w:ascii="宋体" w:hAnsi="宋体" w:eastAsia="宋体" w:cs="宋体"/>
          <w:b/>
          <w:color w:val="000000"/>
        </w:rPr>
        <w:t>9.4 重大伤亡及其他安全事故处理</w:t>
      </w:r>
    </w:p>
    <w:p>
      <w:pPr>
        <w:snapToGrid/>
        <w:spacing w:before="0" w:after="0" w:line="400" w:lineRule="exact"/>
        <w:ind w:firstLine="440" w:firstLineChars="200"/>
        <w:jc w:val="both"/>
      </w:pPr>
      <w:r>
        <w:rPr>
          <w:rFonts w:ascii="宋体" w:hAnsi="宋体" w:eastAsia="宋体" w:cs="宋体"/>
          <w:color w:val="000000"/>
        </w:rPr>
        <w:t>9.4.1 发生重大伤亡及其他安全事故，询、报价双方应采取紧急措施防止事态扩大并全力组织抢救伤者，保护事故现场，如因抢救伤者必须移动现场设备，须做出文字及影像记录。</w:t>
      </w:r>
    </w:p>
    <w:p>
      <w:pPr>
        <w:snapToGrid/>
        <w:spacing w:before="0" w:after="0" w:line="400" w:lineRule="exact"/>
        <w:ind w:firstLine="440" w:firstLineChars="200"/>
        <w:jc w:val="both"/>
        <w:rPr>
          <w:rFonts w:ascii="宋体" w:hAnsi="宋体" w:eastAsia="宋体" w:cs="宋体"/>
          <w:color w:val="000000"/>
        </w:rPr>
      </w:pPr>
      <w:r>
        <w:rPr>
          <w:rFonts w:ascii="宋体" w:hAnsi="宋体" w:eastAsia="宋体" w:cs="宋体"/>
          <w:color w:val="000000"/>
        </w:rPr>
        <w:t>9.4.2 招标人有权对投标人的安全隐患提出整改意见；投标人未及时整改的，招标人有权自行或委托他人整改，发生的费用由投标人承担。若发生安全事故，投标人承担主要安全责任和因此发生的经济损失（包括赔偿金及罚款）的95%，并不得以任何理由将责任和处理工作推诿给招标人。招标人承担连带的安全责任及相关经济损失的5%，并协调处理事故。在招标人与投标人对事故责任认定有争议时，按政府有关部门的认定处理。</w:t>
      </w:r>
    </w:p>
    <w:p>
      <w:pPr>
        <w:snapToGrid/>
        <w:spacing w:before="0" w:after="0" w:line="400" w:lineRule="exact"/>
        <w:ind w:firstLine="440" w:firstLineChars="200"/>
        <w:jc w:val="both"/>
        <w:rPr>
          <w:rFonts w:ascii="宋体" w:hAnsi="宋体" w:eastAsia="宋体" w:cs="宋体"/>
          <w:color w:val="000000"/>
        </w:rPr>
      </w:pPr>
      <w:r>
        <w:rPr>
          <w:rFonts w:ascii="宋体" w:hAnsi="宋体" w:eastAsia="宋体" w:cs="宋体"/>
          <w:color w:val="000000"/>
        </w:rPr>
        <w:t>9.5 其他要求</w:t>
      </w:r>
    </w:p>
    <w:p>
      <w:pPr>
        <w:snapToGrid/>
        <w:spacing w:before="0" w:after="0" w:line="400" w:lineRule="exact"/>
        <w:ind w:firstLine="440" w:firstLineChars="200"/>
        <w:jc w:val="both"/>
      </w:pPr>
      <w:r>
        <w:rPr>
          <w:rFonts w:ascii="宋体" w:hAnsi="宋体" w:eastAsia="宋体" w:cs="宋体"/>
          <w:color w:val="000000"/>
        </w:rPr>
        <w:t>9.5.1  施工现场实行实名制管理，投标人所有工作人员进场前必须完成实名制认证，投标人工作人员通过人脸识别进入工程场地。月底考勤按照现场考勤系统记录为准，没有考勤记录，不得发放工资。投标人如有新增或离场工作人员，必须及时向招标人项目部劳务管理员报告，完成实名认证系统的更新。投标人现场工作人员年龄不得超过60岁，且身体健康无疾病（劳务公司出承诺，工人如因自身突发疾病产生的所有经济赔偿劳务公司承担95%，项目部只承担5%）。</w:t>
      </w:r>
    </w:p>
    <w:p>
      <w:pPr>
        <w:snapToGrid/>
        <w:spacing w:before="0" w:after="0" w:line="400" w:lineRule="exact"/>
        <w:ind w:firstLine="440" w:firstLineChars="200"/>
        <w:jc w:val="both"/>
      </w:pPr>
      <w:r>
        <w:rPr>
          <w:rFonts w:ascii="宋体" w:hAnsi="宋体" w:eastAsia="宋体" w:cs="宋体"/>
          <w:color w:val="000000"/>
        </w:rPr>
        <w:t>9.5.2  为便于现场管理，由招标人统一采购安全帽及反光背心，投标人从招标人项目部领用，费用在劳务结算中扣除。安全帽颜色分类统一，并按照实名认证系统中投标人工作人员的编号在安全帽后侧集中喷绘同样编号，投标人按照现场工作人数领取并对应编号发放。本项目工地的安全帽作为现场管理的依据之一，要妥善保管，不得借给他人使用，否则，造成任何纠纷均由投标人负责承担和解决。</w:t>
      </w:r>
    </w:p>
    <w:p>
      <w:pPr>
        <w:snapToGrid/>
        <w:spacing w:before="0" w:after="0" w:line="400" w:lineRule="exact"/>
        <w:ind w:firstLine="440" w:firstLineChars="200"/>
        <w:jc w:val="both"/>
        <w:rPr>
          <w:rFonts w:ascii="宋体" w:hAnsi="宋体" w:eastAsia="宋体" w:cs="宋体"/>
          <w:color w:val="000000"/>
        </w:rPr>
      </w:pPr>
      <w:r>
        <w:rPr>
          <w:rFonts w:ascii="宋体" w:hAnsi="宋体" w:eastAsia="宋体" w:cs="宋体"/>
          <w:color w:val="000000"/>
        </w:rPr>
        <w:t>9.5.3  投标人应服从招标人项目经理部的安排、指挥、调配。投标人应按招标人的管理要求，配置项目现场管理人员（现场负责人、土建、水电技术员及施工员、专职安全员、测量员、劳资员、质量员、各专业工长等），特殊工种作业人员应持证上岗，未经项目部同意不得中途更换现场管理人员。现场负责人要有投标日期前至少一个月的投标人的社保记录，且在施工过程中必须保证每个月不低于22次考勤系统记录，无论任何原因更换现场负责人，一次50万元违约金</w:t>
      </w:r>
    </w:p>
    <w:p>
      <w:pPr>
        <w:snapToGrid/>
        <w:spacing w:before="0" w:after="0" w:line="400" w:lineRule="exact"/>
        <w:ind w:firstLine="440" w:firstLineChars="200"/>
        <w:jc w:val="both"/>
      </w:pPr>
      <w:r>
        <w:rPr>
          <w:rFonts w:ascii="宋体" w:hAnsi="宋体" w:eastAsia="宋体" w:cs="宋体"/>
          <w:color w:val="000000"/>
        </w:rPr>
        <w:t>9.5.4  投标人应保证按招标人审批的安全技术措施贯彻执行，且具有完成招标人工程工期、安全、质量、文明施工等计划的能力和措施办法，并且有足够的流动资金给予支持。</w:t>
      </w:r>
    </w:p>
    <w:p>
      <w:pPr>
        <w:snapToGrid/>
        <w:spacing w:before="0" w:after="0" w:line="400" w:lineRule="exact"/>
        <w:ind w:firstLine="442" w:firstLineChars="200"/>
        <w:jc w:val="both"/>
      </w:pPr>
      <w:r>
        <w:rPr>
          <w:rFonts w:ascii="宋体" w:hAnsi="宋体" w:eastAsia="宋体" w:cs="宋体"/>
          <w:b/>
          <w:color w:val="000000"/>
        </w:rPr>
        <w:t>第十条报价要求</w:t>
      </w:r>
    </w:p>
    <w:p>
      <w:pPr>
        <w:snapToGrid/>
        <w:spacing w:before="0" w:after="0" w:line="400" w:lineRule="exact"/>
        <w:ind w:firstLine="440" w:firstLineChars="200"/>
        <w:jc w:val="both"/>
      </w:pPr>
      <w:r>
        <w:rPr>
          <w:rFonts w:ascii="宋体" w:hAnsi="宋体" w:eastAsia="宋体" w:cs="宋体"/>
          <w:color w:val="000000"/>
        </w:rPr>
        <w:t>按建筑面积每平方米综合单价包干形式报价。综合单价包括但不限于按照招标方提供的招标文件保质保量按招标人要求完成施工任务，验收直至移交的所有相关工作内容，施工过程中所需发生的人工、机械、材料（不包含招标方提供的材料）、措施费、管理费、利润、税金等一切费用。税金计取必须是增值专用税，且在报价明细表中（附件二）明确税点。</w:t>
      </w:r>
      <w:r>
        <w:rPr>
          <w:rFonts w:ascii="宋体" w:hAnsi="宋体" w:eastAsia="宋体" w:cs="宋体"/>
          <w:b/>
          <w:color w:val="000000"/>
        </w:rPr>
        <w:t>招标人在</w:t>
      </w:r>
      <w:r>
        <w:rPr>
          <w:rFonts w:hint="eastAsia" w:ascii="宋体" w:hAnsi="宋体" w:eastAsia="宋体" w:cs="宋体"/>
          <w:b/>
          <w:color w:val="000000"/>
        </w:rPr>
        <w:t>评标</w:t>
      </w:r>
      <w:r>
        <w:rPr>
          <w:rFonts w:ascii="宋体" w:hAnsi="宋体" w:eastAsia="宋体" w:cs="宋体"/>
          <w:b/>
          <w:color w:val="000000"/>
        </w:rPr>
        <w:t>时按不含税价进行评审。</w:t>
      </w:r>
    </w:p>
    <w:p>
      <w:pPr>
        <w:snapToGrid/>
        <w:spacing w:before="0" w:after="0" w:line="400" w:lineRule="exact"/>
        <w:ind w:firstLine="442" w:firstLineChars="200"/>
        <w:jc w:val="both"/>
      </w:pPr>
      <w:r>
        <w:rPr>
          <w:rFonts w:ascii="宋体" w:hAnsi="宋体" w:eastAsia="宋体" w:cs="宋体"/>
          <w:b/>
          <w:color w:val="000000"/>
        </w:rPr>
        <w:t>第十一条劳务费结算与支付</w:t>
      </w:r>
    </w:p>
    <w:p>
      <w:pPr>
        <w:snapToGrid/>
        <w:spacing w:line="240" w:lineRule="auto"/>
        <w:ind w:firstLine="440" w:firstLineChars="200"/>
        <w:rPr>
          <w:color w:val="000000" w:themeColor="text1"/>
        </w:rPr>
      </w:pPr>
      <w:r>
        <w:rPr>
          <w:rFonts w:ascii="宋体" w:hAnsi="宋体" w:eastAsia="宋体" w:cs="宋体"/>
          <w:color w:val="000000" w:themeColor="text1"/>
          <w:shd w:val="clear" w:color="auto" w:fill="FFFFFF"/>
        </w:rPr>
        <w:t>11.1.1 结算：按照投标人实际完成经招标人验收合格的工程量及</w:t>
      </w:r>
      <w:r>
        <w:rPr>
          <w:rFonts w:hint="eastAsia" w:ascii="宋体" w:hAnsi="宋体" w:eastAsia="宋体" w:cs="宋体"/>
          <w:color w:val="000000" w:themeColor="text1"/>
          <w:shd w:val="clear" w:color="auto" w:fill="FFFFFF"/>
        </w:rPr>
        <w:t>综合</w:t>
      </w:r>
      <w:r>
        <w:rPr>
          <w:rFonts w:ascii="宋体" w:hAnsi="宋体" w:eastAsia="宋体" w:cs="宋体"/>
          <w:color w:val="000000" w:themeColor="text1"/>
          <w:shd w:val="clear" w:color="auto" w:fill="FFFFFF"/>
        </w:rPr>
        <w:t>单价</w:t>
      </w:r>
      <w:r>
        <w:rPr>
          <w:rFonts w:hint="eastAsia" w:ascii="宋体" w:hAnsi="宋体" w:eastAsia="宋体" w:cs="宋体"/>
          <w:color w:val="000000" w:themeColor="text1"/>
          <w:shd w:val="clear" w:color="auto" w:fill="FFFFFF"/>
        </w:rPr>
        <w:t>包干</w:t>
      </w:r>
      <w:r>
        <w:rPr>
          <w:rFonts w:ascii="宋体" w:hAnsi="宋体" w:eastAsia="宋体" w:cs="宋体"/>
          <w:color w:val="000000" w:themeColor="text1"/>
          <w:shd w:val="clear" w:color="auto" w:fill="FFFFFF"/>
        </w:rPr>
        <w:t>进行结算。</w:t>
      </w:r>
    </w:p>
    <w:p>
      <w:pPr>
        <w:snapToGrid/>
        <w:spacing w:line="240" w:lineRule="auto"/>
        <w:ind w:firstLine="440" w:firstLineChars="200"/>
        <w:rPr>
          <w:rFonts w:ascii="宋体" w:hAnsi="宋体" w:eastAsia="宋体" w:cs="宋体"/>
          <w:color w:val="000000" w:themeColor="text1"/>
          <w:shd w:val="clear" w:color="auto" w:fill="FFFFFF"/>
        </w:rPr>
      </w:pPr>
      <w:r>
        <w:rPr>
          <w:rFonts w:ascii="宋体" w:hAnsi="宋体" w:eastAsia="宋体" w:cs="宋体"/>
          <w:color w:val="000000" w:themeColor="text1"/>
          <w:shd w:val="clear" w:color="auto" w:fill="FFFFFF"/>
        </w:rPr>
        <w:t>11.1.2劳务分包合同没有包含的项目、设计变更的项目、新增项目，按验收合格数量据实结算，</w:t>
      </w:r>
      <w:r>
        <w:rPr>
          <w:rFonts w:hint="eastAsia" w:ascii="宋体" w:hAnsi="宋体" w:eastAsia="宋体" w:cs="宋体"/>
          <w:color w:val="000000" w:themeColor="text1"/>
          <w:shd w:val="clear" w:color="auto" w:fill="FFFFFF"/>
        </w:rPr>
        <w:t>价款按最终跟踪审计单位的审计的人工费+税金支付</w:t>
      </w:r>
      <w:r>
        <w:rPr>
          <w:rFonts w:ascii="宋体" w:hAnsi="宋体" w:eastAsia="宋体" w:cs="宋体"/>
          <w:color w:val="000000" w:themeColor="text1"/>
          <w:shd w:val="clear" w:color="auto" w:fill="FFFFFF"/>
        </w:rPr>
        <w:t>。</w:t>
      </w:r>
    </w:p>
    <w:p>
      <w:pPr>
        <w:snapToGrid/>
        <w:spacing w:before="0" w:after="0" w:line="400" w:lineRule="exact"/>
        <w:ind w:firstLine="440" w:firstLineChars="200"/>
        <w:jc w:val="both"/>
        <w:rPr>
          <w:color w:val="000000" w:themeColor="text1"/>
        </w:rPr>
      </w:pPr>
      <w:r>
        <w:rPr>
          <w:rFonts w:ascii="宋体" w:hAnsi="宋体" w:eastAsia="宋体" w:cs="宋体"/>
          <w:color w:val="000000" w:themeColor="text1"/>
        </w:rPr>
        <w:t>11.2 支付</w:t>
      </w:r>
    </w:p>
    <w:p>
      <w:pPr>
        <w:snapToGrid/>
        <w:spacing w:before="0" w:after="0" w:line="400" w:lineRule="exact"/>
        <w:ind w:firstLine="440" w:firstLineChars="200"/>
        <w:jc w:val="both"/>
        <w:rPr>
          <w:rFonts w:ascii="宋体" w:hAnsi="宋体" w:eastAsia="宋体" w:cs="宋体"/>
          <w:color w:val="000000"/>
        </w:rPr>
      </w:pPr>
      <w:r>
        <w:rPr>
          <w:rFonts w:ascii="宋体" w:hAnsi="宋体" w:eastAsia="宋体" w:cs="宋体"/>
          <w:color w:val="000000"/>
        </w:rPr>
        <w:t>11.2.1  甲方按月度支付乙方工程劳务款，每月支付按月度施工计划完工且验收合格工程量的80%，工程竣工验收合格并完成</w:t>
      </w:r>
      <w:r>
        <w:rPr>
          <w:rFonts w:hint="eastAsia" w:ascii="宋体" w:hAnsi="宋体" w:eastAsia="宋体" w:cs="宋体"/>
          <w:color w:val="000000"/>
        </w:rPr>
        <w:t>结</w:t>
      </w:r>
      <w:r>
        <w:rPr>
          <w:rFonts w:ascii="宋体" w:hAnsi="宋体" w:eastAsia="宋体" w:cs="宋体"/>
          <w:color w:val="000000"/>
        </w:rPr>
        <w:t>算后付至合同价款的97%，留下3%作为质保金，待质保期满(贰年)无异议后一次性支付(无息)。</w:t>
      </w:r>
    </w:p>
    <w:p>
      <w:pPr>
        <w:snapToGrid/>
        <w:spacing w:line="240" w:lineRule="auto"/>
        <w:ind w:firstLine="440" w:firstLineChars="200"/>
        <w:rPr>
          <w:rFonts w:ascii="宋体" w:hAnsi="宋体" w:eastAsia="宋体" w:cs="宋体"/>
          <w:color w:val="000000" w:themeColor="text1"/>
        </w:rPr>
      </w:pPr>
      <w:r>
        <w:rPr>
          <w:rFonts w:hint="eastAsia" w:ascii="宋体" w:hAnsi="宋体" w:eastAsia="宋体" w:cs="宋体"/>
          <w:color w:val="000000" w:themeColor="text1"/>
          <w:shd w:val="clear" w:color="auto" w:fill="FFFFFF"/>
        </w:rPr>
        <w:t>每月进度工程款=实际完成工程量*综合单价（按节点）*支付比例</w:t>
      </w:r>
    </w:p>
    <w:p>
      <w:pPr>
        <w:snapToGrid/>
        <w:spacing w:before="0" w:after="0" w:line="400" w:lineRule="exact"/>
        <w:ind w:firstLine="440" w:firstLineChars="200"/>
        <w:jc w:val="both"/>
        <w:rPr>
          <w:rFonts w:ascii="宋体" w:hAnsi="宋体" w:eastAsia="宋体" w:cs="宋体"/>
          <w:color w:val="000000" w:themeColor="text1"/>
        </w:rPr>
      </w:pPr>
      <w:r>
        <w:rPr>
          <w:rFonts w:ascii="宋体" w:hAnsi="宋体" w:eastAsia="宋体" w:cs="宋体"/>
          <w:color w:val="000000" w:themeColor="text1"/>
        </w:rPr>
        <w:t xml:space="preserve">11.2.2   </w:t>
      </w:r>
      <w:r>
        <w:rPr>
          <w:rFonts w:hint="eastAsia" w:ascii="宋体" w:hAnsi="宋体" w:eastAsia="宋体" w:cs="宋体"/>
          <w:color w:val="000000" w:themeColor="text1"/>
        </w:rPr>
        <w:t>综合单价</w:t>
      </w:r>
      <w:r>
        <w:rPr>
          <w:rFonts w:ascii="宋体" w:hAnsi="宋体" w:eastAsia="宋体" w:cs="宋体"/>
          <w:color w:val="000000" w:themeColor="text1"/>
        </w:rPr>
        <w:t>支付节点</w:t>
      </w:r>
    </w:p>
    <w:p>
      <w:pPr>
        <w:snapToGrid/>
        <w:spacing w:before="0" w:after="0" w:line="400" w:lineRule="exact"/>
        <w:ind w:firstLine="440" w:firstLineChars="200"/>
        <w:jc w:val="both"/>
        <w:rPr>
          <w:rFonts w:ascii="宋体" w:hAnsi="宋体" w:eastAsia="宋体" w:cs="宋体"/>
          <w:color w:val="000000" w:themeColor="text1"/>
        </w:rPr>
      </w:pPr>
      <w:r>
        <w:rPr>
          <w:rFonts w:ascii="宋体" w:hAnsi="宋体" w:eastAsia="宋体" w:cs="宋体"/>
          <w:color w:val="000000" w:themeColor="text1"/>
        </w:rPr>
        <w:t>1）木工：一次结构按实际完成工程量</w:t>
      </w:r>
      <w:r>
        <w:rPr>
          <w:rFonts w:hint="eastAsia" w:ascii="宋体" w:hAnsi="宋体" w:eastAsia="宋体" w:cs="宋体"/>
          <w:color w:val="000000" w:themeColor="text1"/>
        </w:rPr>
        <w:t>*</w:t>
      </w:r>
      <w:r>
        <w:rPr>
          <w:rFonts w:ascii="宋体" w:hAnsi="宋体" w:eastAsia="宋体" w:cs="宋体"/>
          <w:color w:val="000000" w:themeColor="text1"/>
        </w:rPr>
        <w:t>单价的80%，二次结构按实际完成工程量</w:t>
      </w:r>
      <w:r>
        <w:rPr>
          <w:rFonts w:hint="eastAsia" w:ascii="宋体" w:hAnsi="宋体" w:eastAsia="宋体" w:cs="宋体"/>
          <w:color w:val="000000" w:themeColor="text1"/>
        </w:rPr>
        <w:t>*</w:t>
      </w:r>
      <w:r>
        <w:rPr>
          <w:rFonts w:ascii="宋体" w:hAnsi="宋体" w:eastAsia="宋体" w:cs="宋体"/>
          <w:color w:val="000000" w:themeColor="text1"/>
        </w:rPr>
        <w:t>单价的15%，附属工程按实际完成工程量</w:t>
      </w:r>
      <w:r>
        <w:rPr>
          <w:rFonts w:hint="eastAsia" w:ascii="宋体" w:hAnsi="宋体" w:eastAsia="宋体" w:cs="宋体"/>
          <w:color w:val="000000" w:themeColor="text1"/>
        </w:rPr>
        <w:t>*</w:t>
      </w:r>
      <w:r>
        <w:rPr>
          <w:rFonts w:ascii="宋体" w:hAnsi="宋体" w:eastAsia="宋体" w:cs="宋体"/>
          <w:color w:val="000000" w:themeColor="text1"/>
        </w:rPr>
        <w:t>单价的5%</w:t>
      </w:r>
    </w:p>
    <w:p>
      <w:pPr>
        <w:snapToGrid/>
        <w:spacing w:before="0" w:after="0" w:line="400" w:lineRule="exact"/>
        <w:ind w:firstLine="440" w:firstLineChars="200"/>
        <w:jc w:val="both"/>
        <w:rPr>
          <w:rFonts w:ascii="宋体" w:hAnsi="宋体" w:eastAsia="宋体" w:cs="宋体"/>
          <w:color w:val="000000" w:themeColor="text1"/>
        </w:rPr>
      </w:pPr>
      <w:r>
        <w:rPr>
          <w:rFonts w:ascii="宋体" w:hAnsi="宋体" w:eastAsia="宋体" w:cs="宋体"/>
          <w:color w:val="000000" w:themeColor="text1"/>
        </w:rPr>
        <w:t>2）钢筋工：一次结构按实际完成工程量</w:t>
      </w:r>
      <w:r>
        <w:rPr>
          <w:rFonts w:hint="eastAsia" w:ascii="宋体" w:hAnsi="宋体" w:eastAsia="宋体" w:cs="宋体"/>
          <w:color w:val="000000" w:themeColor="text1"/>
        </w:rPr>
        <w:t>*</w:t>
      </w:r>
      <w:r>
        <w:rPr>
          <w:rFonts w:ascii="宋体" w:hAnsi="宋体" w:eastAsia="宋体" w:cs="宋体"/>
          <w:color w:val="000000" w:themeColor="text1"/>
        </w:rPr>
        <w:t>单价的80%，二次结构按实际完成工程量</w:t>
      </w:r>
      <w:r>
        <w:rPr>
          <w:rFonts w:hint="eastAsia" w:ascii="宋体" w:hAnsi="宋体" w:eastAsia="宋体" w:cs="宋体"/>
          <w:color w:val="000000" w:themeColor="text1"/>
        </w:rPr>
        <w:t>*</w:t>
      </w:r>
      <w:r>
        <w:rPr>
          <w:rFonts w:ascii="宋体" w:hAnsi="宋体" w:eastAsia="宋体" w:cs="宋体"/>
          <w:color w:val="000000" w:themeColor="text1"/>
        </w:rPr>
        <w:t>单价的15%，附属工程按实际完成工程量</w:t>
      </w:r>
      <w:r>
        <w:rPr>
          <w:rFonts w:hint="eastAsia" w:ascii="宋体" w:hAnsi="宋体" w:eastAsia="宋体" w:cs="宋体"/>
          <w:color w:val="000000" w:themeColor="text1"/>
        </w:rPr>
        <w:t>*</w:t>
      </w:r>
      <w:r>
        <w:rPr>
          <w:rFonts w:ascii="宋体" w:hAnsi="宋体" w:eastAsia="宋体" w:cs="宋体"/>
          <w:color w:val="000000" w:themeColor="text1"/>
        </w:rPr>
        <w:t>单价的5%</w:t>
      </w:r>
    </w:p>
    <w:p>
      <w:pPr>
        <w:snapToGrid/>
        <w:spacing w:before="0" w:after="0" w:line="400" w:lineRule="exact"/>
        <w:ind w:firstLine="440" w:firstLineChars="200"/>
        <w:jc w:val="both"/>
        <w:rPr>
          <w:rFonts w:ascii="宋体" w:hAnsi="宋体" w:eastAsia="宋体" w:cs="宋体"/>
          <w:color w:val="000000" w:themeColor="text1"/>
        </w:rPr>
      </w:pPr>
      <w:r>
        <w:rPr>
          <w:rFonts w:ascii="宋体" w:hAnsi="宋体" w:eastAsia="宋体" w:cs="宋体"/>
          <w:color w:val="000000" w:themeColor="text1"/>
        </w:rPr>
        <w:t>3）瓦工：一次结构按实际完成工程量</w:t>
      </w:r>
      <w:r>
        <w:rPr>
          <w:rFonts w:hint="eastAsia" w:ascii="宋体" w:hAnsi="宋体" w:eastAsia="宋体" w:cs="宋体"/>
          <w:color w:val="000000" w:themeColor="text1"/>
        </w:rPr>
        <w:t>*</w:t>
      </w:r>
      <w:r>
        <w:rPr>
          <w:rFonts w:ascii="宋体" w:hAnsi="宋体" w:eastAsia="宋体" w:cs="宋体"/>
          <w:color w:val="000000" w:themeColor="text1"/>
        </w:rPr>
        <w:t>单价的30%，二次结构按实际完成工程量</w:t>
      </w:r>
      <w:r>
        <w:rPr>
          <w:rFonts w:hint="eastAsia" w:ascii="宋体" w:hAnsi="宋体" w:eastAsia="宋体" w:cs="宋体"/>
          <w:color w:val="000000" w:themeColor="text1"/>
        </w:rPr>
        <w:t>*</w:t>
      </w:r>
      <w:r>
        <w:rPr>
          <w:rFonts w:ascii="宋体" w:hAnsi="宋体" w:eastAsia="宋体" w:cs="宋体"/>
          <w:color w:val="000000" w:themeColor="text1"/>
        </w:rPr>
        <w:t>单价的30%，内外墙抹灰按实际完成工程量</w:t>
      </w:r>
      <w:r>
        <w:rPr>
          <w:rFonts w:hint="eastAsia" w:ascii="宋体" w:hAnsi="宋体" w:eastAsia="宋体" w:cs="宋体"/>
          <w:color w:val="000000" w:themeColor="text1"/>
        </w:rPr>
        <w:t>*</w:t>
      </w:r>
      <w:r>
        <w:rPr>
          <w:rFonts w:ascii="宋体" w:hAnsi="宋体" w:eastAsia="宋体" w:cs="宋体"/>
          <w:color w:val="000000" w:themeColor="text1"/>
        </w:rPr>
        <w:t>单价的15%，地坪按实际完成工程量</w:t>
      </w:r>
      <w:r>
        <w:rPr>
          <w:rFonts w:hint="eastAsia" w:ascii="宋体" w:hAnsi="宋体" w:eastAsia="宋体" w:cs="宋体"/>
          <w:color w:val="000000" w:themeColor="text1"/>
        </w:rPr>
        <w:t>*</w:t>
      </w:r>
      <w:r>
        <w:rPr>
          <w:rFonts w:ascii="宋体" w:hAnsi="宋体" w:eastAsia="宋体" w:cs="宋体"/>
          <w:color w:val="000000" w:themeColor="text1"/>
        </w:rPr>
        <w:t>单价的15%，屋面按实际完成工程量</w:t>
      </w:r>
      <w:r>
        <w:rPr>
          <w:rFonts w:hint="eastAsia" w:ascii="宋体" w:hAnsi="宋体" w:eastAsia="宋体" w:cs="宋体"/>
          <w:color w:val="000000" w:themeColor="text1"/>
        </w:rPr>
        <w:t>*</w:t>
      </w:r>
      <w:r>
        <w:rPr>
          <w:rFonts w:ascii="宋体" w:hAnsi="宋体" w:eastAsia="宋体" w:cs="宋体"/>
          <w:color w:val="000000" w:themeColor="text1"/>
        </w:rPr>
        <w:t>单价的5%，附属工程按实际完成工程量</w:t>
      </w:r>
      <w:r>
        <w:rPr>
          <w:rFonts w:hint="eastAsia" w:ascii="宋体" w:hAnsi="宋体" w:eastAsia="宋体" w:cs="宋体"/>
          <w:color w:val="000000" w:themeColor="text1"/>
        </w:rPr>
        <w:t>*</w:t>
      </w:r>
      <w:r>
        <w:rPr>
          <w:rFonts w:ascii="宋体" w:hAnsi="宋体" w:eastAsia="宋体" w:cs="宋体"/>
          <w:color w:val="000000" w:themeColor="text1"/>
        </w:rPr>
        <w:t>单价的5%</w:t>
      </w:r>
    </w:p>
    <w:p>
      <w:pPr>
        <w:snapToGrid/>
        <w:spacing w:before="0" w:after="0" w:line="400" w:lineRule="exact"/>
        <w:ind w:firstLine="440" w:firstLineChars="200"/>
        <w:jc w:val="both"/>
        <w:rPr>
          <w:rFonts w:ascii="宋体" w:hAnsi="宋体" w:eastAsia="宋体" w:cs="宋体"/>
          <w:color w:val="000000" w:themeColor="text1"/>
        </w:rPr>
      </w:pPr>
      <w:r>
        <w:rPr>
          <w:rFonts w:ascii="宋体" w:hAnsi="宋体" w:eastAsia="宋体" w:cs="宋体"/>
          <w:color w:val="000000" w:themeColor="text1"/>
        </w:rPr>
        <w:t>4）脚手架钢管；室外脚手架安装按实际完成工程量</w:t>
      </w:r>
      <w:r>
        <w:rPr>
          <w:rFonts w:hint="eastAsia" w:ascii="宋体" w:hAnsi="宋体" w:eastAsia="宋体" w:cs="宋体"/>
          <w:color w:val="000000" w:themeColor="text1"/>
        </w:rPr>
        <w:t>*</w:t>
      </w:r>
      <w:r>
        <w:rPr>
          <w:rFonts w:ascii="宋体" w:hAnsi="宋体" w:eastAsia="宋体" w:cs="宋体"/>
          <w:color w:val="000000" w:themeColor="text1"/>
        </w:rPr>
        <w:t>单价</w:t>
      </w:r>
      <w:r>
        <w:rPr>
          <w:rFonts w:hint="eastAsia" w:ascii="宋体" w:hAnsi="宋体" w:eastAsia="宋体" w:cs="宋体"/>
          <w:color w:val="000000" w:themeColor="text1"/>
        </w:rPr>
        <w:t>的</w:t>
      </w:r>
      <w:r>
        <w:rPr>
          <w:rFonts w:ascii="宋体" w:hAnsi="宋体" w:eastAsia="宋体" w:cs="宋体"/>
          <w:color w:val="000000" w:themeColor="text1"/>
        </w:rPr>
        <w:t>70%，室外脚手架拆除按实际完成工程量</w:t>
      </w:r>
      <w:r>
        <w:rPr>
          <w:rFonts w:hint="eastAsia" w:ascii="宋体" w:hAnsi="宋体" w:eastAsia="宋体" w:cs="宋体"/>
          <w:color w:val="000000" w:themeColor="text1"/>
        </w:rPr>
        <w:t>*</w:t>
      </w:r>
      <w:r>
        <w:rPr>
          <w:rFonts w:ascii="宋体" w:hAnsi="宋体" w:eastAsia="宋体" w:cs="宋体"/>
          <w:color w:val="000000" w:themeColor="text1"/>
        </w:rPr>
        <w:t>单价的30%</w:t>
      </w:r>
    </w:p>
    <w:p>
      <w:pPr>
        <w:snapToGrid/>
        <w:spacing w:before="0" w:after="0" w:line="400" w:lineRule="exact"/>
        <w:ind w:firstLine="440" w:firstLineChars="200"/>
        <w:jc w:val="both"/>
        <w:rPr>
          <w:rFonts w:ascii="宋体" w:hAnsi="宋体" w:eastAsia="宋体" w:cs="宋体"/>
          <w:color w:val="000000" w:themeColor="text1"/>
        </w:rPr>
      </w:pPr>
      <w:r>
        <w:rPr>
          <w:rFonts w:ascii="宋体" w:hAnsi="宋体" w:eastAsia="宋体" w:cs="宋体"/>
          <w:color w:val="000000" w:themeColor="text1"/>
        </w:rPr>
        <w:t>5）水电安装：一次结构预埋按实际完成工程量</w:t>
      </w:r>
      <w:r>
        <w:rPr>
          <w:rFonts w:hint="eastAsia" w:ascii="宋体" w:hAnsi="宋体" w:eastAsia="宋体" w:cs="宋体"/>
          <w:color w:val="000000" w:themeColor="text1"/>
        </w:rPr>
        <w:t>*</w:t>
      </w:r>
      <w:r>
        <w:rPr>
          <w:rFonts w:ascii="宋体" w:hAnsi="宋体" w:eastAsia="宋体" w:cs="宋体"/>
          <w:color w:val="000000" w:themeColor="text1"/>
        </w:rPr>
        <w:t>单价的25%，二次结构预埋按实际完成工程量</w:t>
      </w:r>
      <w:r>
        <w:rPr>
          <w:rFonts w:hint="eastAsia" w:ascii="宋体" w:hAnsi="宋体" w:eastAsia="宋体" w:cs="宋体"/>
          <w:color w:val="000000" w:themeColor="text1"/>
        </w:rPr>
        <w:t>*</w:t>
      </w:r>
      <w:r>
        <w:rPr>
          <w:rFonts w:ascii="宋体" w:hAnsi="宋体" w:eastAsia="宋体" w:cs="宋体"/>
          <w:color w:val="000000" w:themeColor="text1"/>
        </w:rPr>
        <w:t>单价的25%，水电管线安装按实际完成工程量</w:t>
      </w:r>
      <w:r>
        <w:rPr>
          <w:rFonts w:hint="eastAsia" w:ascii="宋体" w:hAnsi="宋体" w:eastAsia="宋体" w:cs="宋体"/>
          <w:color w:val="000000" w:themeColor="text1"/>
        </w:rPr>
        <w:t>*</w:t>
      </w:r>
      <w:r>
        <w:rPr>
          <w:rFonts w:ascii="宋体" w:hAnsi="宋体" w:eastAsia="宋体" w:cs="宋体"/>
          <w:color w:val="000000" w:themeColor="text1"/>
        </w:rPr>
        <w:t>单价的35%，洁具及灯具安装按实际完成工程量</w:t>
      </w:r>
      <w:r>
        <w:rPr>
          <w:rFonts w:hint="eastAsia" w:ascii="宋体" w:hAnsi="宋体" w:eastAsia="宋体" w:cs="宋体"/>
          <w:color w:val="000000" w:themeColor="text1"/>
        </w:rPr>
        <w:t>*</w:t>
      </w:r>
      <w:r>
        <w:rPr>
          <w:rFonts w:ascii="宋体" w:hAnsi="宋体" w:eastAsia="宋体" w:cs="宋体"/>
          <w:color w:val="000000" w:themeColor="text1"/>
        </w:rPr>
        <w:t>单价的15%</w:t>
      </w:r>
    </w:p>
    <w:p>
      <w:pPr>
        <w:snapToGrid/>
        <w:spacing w:before="0" w:after="0" w:line="400" w:lineRule="exact"/>
        <w:ind w:firstLine="440" w:firstLineChars="200"/>
        <w:jc w:val="both"/>
        <w:rPr>
          <w:rFonts w:ascii="宋体" w:hAnsi="宋体" w:eastAsia="宋体" w:cs="宋体"/>
          <w:color w:val="000000" w:themeColor="text1"/>
        </w:rPr>
      </w:pPr>
      <w:r>
        <w:rPr>
          <w:rFonts w:ascii="宋体" w:hAnsi="宋体" w:eastAsia="宋体" w:cs="宋体"/>
          <w:color w:val="000000" w:themeColor="text1"/>
        </w:rPr>
        <w:t>6）安全文明施工费：按进度比例</w:t>
      </w:r>
    </w:p>
    <w:p>
      <w:pPr>
        <w:snapToGrid/>
        <w:spacing w:before="0" w:after="0" w:line="400" w:lineRule="exact"/>
        <w:ind w:firstLine="440" w:firstLineChars="200"/>
        <w:jc w:val="both"/>
        <w:rPr>
          <w:rFonts w:ascii="宋体" w:hAnsi="宋体" w:eastAsia="宋体" w:cs="宋体"/>
          <w:color w:val="000000" w:themeColor="text1"/>
        </w:rPr>
      </w:pPr>
      <w:r>
        <w:rPr>
          <w:rFonts w:ascii="宋体" w:hAnsi="宋体" w:eastAsia="宋体" w:cs="宋体"/>
          <w:color w:val="000000" w:themeColor="text1"/>
        </w:rPr>
        <w:t>7）垂直运输费：按进度比例</w:t>
      </w:r>
    </w:p>
    <w:p>
      <w:pPr>
        <w:snapToGrid/>
        <w:spacing w:before="0" w:after="0" w:line="400" w:lineRule="exact"/>
        <w:ind w:firstLine="440" w:firstLineChars="200"/>
        <w:jc w:val="both"/>
        <w:rPr>
          <w:rFonts w:ascii="宋体" w:hAnsi="宋体" w:eastAsia="宋体" w:cs="宋体"/>
          <w:color w:val="000000" w:themeColor="text1"/>
        </w:rPr>
      </w:pPr>
      <w:r>
        <w:rPr>
          <w:rFonts w:ascii="宋体" w:hAnsi="宋体" w:eastAsia="宋体" w:cs="宋体"/>
          <w:color w:val="000000" w:themeColor="text1"/>
        </w:rPr>
        <w:t>8）室外给排水：按进度比例</w:t>
      </w:r>
    </w:p>
    <w:p>
      <w:pPr>
        <w:snapToGrid/>
        <w:spacing w:before="0" w:after="0" w:line="400" w:lineRule="exact"/>
        <w:ind w:firstLine="440" w:firstLineChars="200"/>
        <w:jc w:val="both"/>
      </w:pPr>
      <w:r>
        <w:rPr>
          <w:rFonts w:ascii="宋体" w:hAnsi="宋体" w:eastAsia="宋体" w:cs="宋体"/>
          <w:color w:val="000000"/>
        </w:rPr>
        <w:t>11.2.3  本项目实行工人工资银行代发制度，每月按实名制考勤工人按工作天数代发工资，按已验收合格工程进度计划进行支付；招标人财务按照批准的工资表通过银行系统直接将工资发放至工人银行卡内。代发工人工资从最近一批工程劳务进度款全额扣除。</w:t>
      </w:r>
    </w:p>
    <w:p>
      <w:pPr>
        <w:snapToGrid/>
        <w:spacing w:before="0" w:after="0" w:line="400" w:lineRule="exact"/>
        <w:ind w:firstLine="442" w:firstLineChars="200"/>
        <w:jc w:val="both"/>
      </w:pPr>
      <w:r>
        <w:rPr>
          <w:rFonts w:ascii="宋体" w:hAnsi="宋体" w:eastAsia="宋体" w:cs="宋体"/>
          <w:b/>
          <w:color w:val="000000"/>
        </w:rPr>
        <w:t>第十二条双方职责</w:t>
      </w:r>
    </w:p>
    <w:p>
      <w:pPr>
        <w:snapToGrid/>
        <w:spacing w:before="0" w:after="0" w:line="400" w:lineRule="exact"/>
        <w:ind w:firstLine="442" w:firstLineChars="200"/>
        <w:jc w:val="both"/>
      </w:pPr>
      <w:r>
        <w:rPr>
          <w:rFonts w:ascii="宋体" w:hAnsi="宋体" w:eastAsia="宋体" w:cs="宋体"/>
          <w:b/>
          <w:color w:val="000000"/>
        </w:rPr>
        <w:t>12.1 招标方职责：</w:t>
      </w:r>
    </w:p>
    <w:p>
      <w:pPr>
        <w:snapToGrid/>
        <w:spacing w:before="0" w:after="0" w:line="400" w:lineRule="exact"/>
        <w:ind w:firstLine="440" w:firstLineChars="200"/>
        <w:jc w:val="both"/>
      </w:pPr>
      <w:r>
        <w:rPr>
          <w:rFonts w:ascii="宋体" w:hAnsi="宋体" w:eastAsia="宋体" w:cs="宋体"/>
          <w:color w:val="000000"/>
        </w:rPr>
        <w:t>12.1.1负责施工进度、工程质量、安全生产、劳务管理、文明施工、治安消防、材料领用、行政卫生等方面的监督与管理；</w:t>
      </w:r>
    </w:p>
    <w:p>
      <w:pPr>
        <w:snapToGrid/>
        <w:spacing w:before="0" w:after="0" w:line="400" w:lineRule="exact"/>
        <w:ind w:firstLine="440" w:firstLineChars="200"/>
        <w:jc w:val="both"/>
      </w:pPr>
      <w:r>
        <w:rPr>
          <w:rFonts w:ascii="宋体" w:hAnsi="宋体" w:eastAsia="宋体" w:cs="宋体"/>
          <w:color w:val="000000"/>
        </w:rPr>
        <w:t>12.1.2负责提供施工所需图纸（包括技术说明），技术、质量、安全交底、办理签证；</w:t>
      </w:r>
    </w:p>
    <w:p>
      <w:pPr>
        <w:snapToGrid/>
        <w:spacing w:before="0" w:after="0" w:line="400" w:lineRule="exact"/>
        <w:ind w:firstLine="440" w:firstLineChars="200"/>
        <w:jc w:val="both"/>
      </w:pPr>
      <w:r>
        <w:rPr>
          <w:rFonts w:ascii="宋体" w:hAnsi="宋体" w:eastAsia="宋体" w:cs="宋体"/>
          <w:color w:val="000000"/>
        </w:rPr>
        <w:t>12.1.3  负责组织工程质量检查验收和竣工验收。</w:t>
      </w:r>
    </w:p>
    <w:p>
      <w:pPr>
        <w:snapToGrid/>
        <w:spacing w:before="0" w:after="0" w:line="400" w:lineRule="exact"/>
        <w:ind w:firstLine="440" w:firstLineChars="200"/>
        <w:jc w:val="both"/>
      </w:pPr>
      <w:r>
        <w:rPr>
          <w:rFonts w:ascii="宋体" w:hAnsi="宋体" w:eastAsia="宋体" w:cs="宋体"/>
          <w:color w:val="000000"/>
        </w:rPr>
        <w:t>12.1.4  负责提供临时办公场地；</w:t>
      </w:r>
    </w:p>
    <w:p>
      <w:pPr>
        <w:snapToGrid/>
        <w:spacing w:before="0" w:after="0" w:line="400" w:lineRule="exact"/>
        <w:ind w:firstLine="442" w:firstLineChars="200"/>
        <w:jc w:val="both"/>
      </w:pPr>
      <w:r>
        <w:rPr>
          <w:rFonts w:ascii="宋体" w:hAnsi="宋体" w:eastAsia="宋体" w:cs="宋体"/>
          <w:b/>
          <w:color w:val="000000"/>
        </w:rPr>
        <w:t>12.2 投标方职责</w:t>
      </w:r>
      <w:r>
        <w:rPr>
          <w:rFonts w:ascii="宋体" w:hAnsi="宋体" w:eastAsia="宋体" w:cs="宋体"/>
          <w:color w:val="000000"/>
        </w:rPr>
        <w:t>：</w:t>
      </w:r>
    </w:p>
    <w:p>
      <w:pPr>
        <w:snapToGrid/>
        <w:spacing w:before="0" w:after="0" w:line="400" w:lineRule="exact"/>
        <w:ind w:firstLine="440" w:firstLineChars="200"/>
        <w:jc w:val="both"/>
      </w:pPr>
      <w:r>
        <w:rPr>
          <w:rFonts w:ascii="宋体" w:hAnsi="宋体" w:eastAsia="宋体" w:cs="宋体"/>
          <w:color w:val="000000"/>
        </w:rPr>
        <w:t>12.2.1报价方就分包工程与招标方共同对业主方承担连带责任；</w:t>
      </w:r>
    </w:p>
    <w:p>
      <w:pPr>
        <w:snapToGrid/>
        <w:spacing w:before="0" w:after="0" w:line="400" w:lineRule="exact"/>
        <w:ind w:firstLine="440" w:firstLineChars="200"/>
        <w:jc w:val="both"/>
      </w:pPr>
      <w:r>
        <w:rPr>
          <w:rFonts w:ascii="宋体" w:hAnsi="宋体" w:eastAsia="宋体" w:cs="宋体"/>
          <w:color w:val="000000"/>
        </w:rPr>
        <w:t>12.2.2报价方必须按照施工设计图所规定的规程要求，按规范标准严格操作程序；</w:t>
      </w:r>
    </w:p>
    <w:p>
      <w:pPr>
        <w:snapToGrid/>
        <w:spacing w:before="0" w:after="0" w:line="400" w:lineRule="exact"/>
        <w:ind w:firstLine="440" w:firstLineChars="200"/>
        <w:jc w:val="both"/>
      </w:pPr>
      <w:r>
        <w:rPr>
          <w:rFonts w:ascii="宋体" w:hAnsi="宋体" w:eastAsia="宋体" w:cs="宋体"/>
          <w:color w:val="000000"/>
        </w:rPr>
        <w:t>12.2.3按照招标方发出的指令组织施工生产，并做好施工原始记录的收集、整理工作；</w:t>
      </w:r>
    </w:p>
    <w:p>
      <w:pPr>
        <w:snapToGrid/>
        <w:spacing w:before="0" w:after="0" w:line="400" w:lineRule="exact"/>
        <w:ind w:firstLine="440" w:firstLineChars="200"/>
        <w:jc w:val="both"/>
      </w:pPr>
      <w:r>
        <w:rPr>
          <w:rFonts w:ascii="宋体" w:hAnsi="宋体" w:eastAsia="宋体" w:cs="宋体"/>
          <w:color w:val="000000"/>
        </w:rPr>
        <w:t>12.2.4报价方负责大中型机械设备和其他设施设备使用和维护；</w:t>
      </w:r>
    </w:p>
    <w:p>
      <w:pPr>
        <w:snapToGrid/>
        <w:spacing w:before="0" w:after="0" w:line="400" w:lineRule="exact"/>
        <w:ind w:firstLine="440" w:firstLineChars="200"/>
        <w:jc w:val="both"/>
      </w:pPr>
      <w:r>
        <w:rPr>
          <w:rFonts w:ascii="宋体" w:hAnsi="宋体" w:eastAsia="宋体" w:cs="宋体"/>
          <w:color w:val="000000"/>
        </w:rPr>
        <w:t>12.2.5报价方必须服从招标方的有关管理规定和要求，无条件执行相关规章制度；</w:t>
      </w:r>
    </w:p>
    <w:p>
      <w:pPr>
        <w:snapToGrid/>
        <w:spacing w:before="0" w:after="0" w:line="400" w:lineRule="exact"/>
        <w:ind w:firstLine="440" w:firstLineChars="200"/>
        <w:jc w:val="both"/>
      </w:pPr>
      <w:r>
        <w:rPr>
          <w:rFonts w:ascii="宋体" w:hAnsi="宋体" w:eastAsia="宋体" w:cs="宋体"/>
          <w:color w:val="000000"/>
        </w:rPr>
        <w:t>%12.2.6按照有关规定和要求为现场施工人员办理各项手续，并购买</w:t>
      </w:r>
      <w:r>
        <w:rPr>
          <w:rFonts w:hint="eastAsia" w:ascii="宋体" w:hAnsi="宋体" w:eastAsia="宋体" w:cs="宋体"/>
          <w:color w:val="000000"/>
        </w:rPr>
        <w:t>建筑类安全生产责任</w:t>
      </w:r>
      <w:r>
        <w:rPr>
          <w:rFonts w:ascii="宋体" w:hAnsi="宋体" w:eastAsia="宋体" w:cs="宋体"/>
          <w:color w:val="000000"/>
        </w:rPr>
        <w:t>保险；</w:t>
      </w:r>
    </w:p>
    <w:p>
      <w:pPr>
        <w:snapToGrid/>
        <w:spacing w:before="0" w:after="0" w:line="400" w:lineRule="exact"/>
        <w:ind w:firstLine="440" w:firstLineChars="200"/>
        <w:jc w:val="both"/>
      </w:pPr>
      <w:r>
        <w:rPr>
          <w:rFonts w:ascii="宋体" w:hAnsi="宋体" w:eastAsia="宋体" w:cs="宋体"/>
          <w:color w:val="000000"/>
        </w:rPr>
        <w:t>12.2.7做好与本工程专业施工分包单位的协作配合，遇有矛盾时，服从招标方的统一协调和安排；</w:t>
      </w:r>
    </w:p>
    <w:p>
      <w:pPr>
        <w:snapToGrid/>
        <w:spacing w:before="0" w:after="0" w:line="400" w:lineRule="exact"/>
        <w:ind w:firstLine="440" w:firstLineChars="200"/>
        <w:jc w:val="both"/>
      </w:pPr>
      <w:r>
        <w:rPr>
          <w:rFonts w:ascii="宋体" w:hAnsi="宋体" w:eastAsia="宋体" w:cs="宋体"/>
          <w:color w:val="000000"/>
        </w:rPr>
        <w:t>12.2.8 保持文明施工做到材料堆放整齐、垃圾及时清运（垃圾弃运点自行解决）。</w:t>
      </w:r>
    </w:p>
    <w:p>
      <w:pPr>
        <w:snapToGrid/>
        <w:spacing w:before="0" w:after="0" w:line="640" w:lineRule="exact"/>
        <w:jc w:val="center"/>
      </w:pPr>
      <w:r>
        <w:rPr>
          <w:rFonts w:ascii="宋体" w:hAnsi="宋体" w:eastAsia="宋体" w:cs="宋体"/>
          <w:b/>
          <w:color w:val="000000"/>
          <w:sz w:val="36"/>
        </w:rPr>
        <w:t> </w:t>
      </w:r>
    </w:p>
    <w:p>
      <w:pPr>
        <w:snapToGrid/>
        <w:spacing w:before="0" w:after="0" w:line="640" w:lineRule="exact"/>
        <w:jc w:val="both"/>
      </w:pPr>
      <w:r>
        <w:rPr>
          <w:rFonts w:ascii="宋体" w:hAnsi="宋体" w:eastAsia="宋体" w:cs="宋体"/>
          <w:b/>
          <w:color w:val="000000"/>
          <w:sz w:val="36"/>
        </w:rPr>
        <w:t> </w:t>
      </w:r>
    </w:p>
    <w:p>
      <w:pPr>
        <w:snapToGrid/>
        <w:spacing w:before="0" w:after="0" w:line="640" w:lineRule="exact"/>
        <w:jc w:val="center"/>
      </w:pPr>
      <w:r>
        <w:rPr>
          <w:rFonts w:ascii="宋体" w:hAnsi="宋体" w:eastAsia="宋体" w:cs="宋体"/>
          <w:b/>
          <w:color w:val="000000"/>
          <w:sz w:val="36"/>
        </w:rPr>
        <w:t>三、须知要求</w:t>
      </w:r>
    </w:p>
    <w:p>
      <w:pPr>
        <w:snapToGrid/>
        <w:spacing w:before="0" w:after="0" w:line="400" w:lineRule="exact"/>
        <w:ind w:firstLine="442" w:firstLineChars="200"/>
        <w:jc w:val="both"/>
      </w:pPr>
      <w:r>
        <w:rPr>
          <w:rFonts w:ascii="宋体" w:hAnsi="宋体" w:eastAsia="宋体" w:cs="宋体"/>
          <w:b/>
          <w:color w:val="000000"/>
        </w:rPr>
        <w:t>第十三条勘察现场</w:t>
      </w:r>
    </w:p>
    <w:p>
      <w:pPr>
        <w:snapToGrid/>
        <w:spacing w:before="0" w:after="0" w:line="400" w:lineRule="exact"/>
        <w:ind w:firstLine="440" w:firstLineChars="200"/>
        <w:jc w:val="both"/>
      </w:pPr>
      <w:r>
        <w:rPr>
          <w:rFonts w:ascii="宋体" w:hAnsi="宋体" w:eastAsia="宋体" w:cs="宋体"/>
          <w:color w:val="000000"/>
        </w:rPr>
        <w:t>13.1招标人有责任和义务向投标人提供与施工有关的所需资料和数据，投标人应认真阅读和分析招标人提供的有关资料。</w:t>
      </w:r>
    </w:p>
    <w:p>
      <w:pPr>
        <w:snapToGrid/>
        <w:spacing w:before="0" w:after="0" w:line="400" w:lineRule="exact"/>
        <w:ind w:firstLine="440" w:firstLineChars="200"/>
        <w:jc w:val="both"/>
      </w:pPr>
      <w:r>
        <w:rPr>
          <w:rFonts w:ascii="宋体" w:hAnsi="宋体" w:eastAsia="宋体" w:cs="宋体"/>
          <w:color w:val="000000"/>
        </w:rPr>
        <w:t>13.2 投标人自行对工程施工现场和周围环境进行勘察，以获取编制报价文件和签署合同所需的所有资料，勘察的全部费用由投标人自己承担。投标人自行实施勘察现场时，所发生的一切伤亡事故与招标人无关，招标人将不予任何补偿。</w:t>
      </w:r>
    </w:p>
    <w:p>
      <w:pPr>
        <w:snapToGrid/>
        <w:spacing w:before="0" w:after="0" w:line="400" w:lineRule="exact"/>
        <w:ind w:firstLine="440" w:firstLineChars="200"/>
        <w:jc w:val="both"/>
      </w:pPr>
      <w:r>
        <w:rPr>
          <w:rFonts w:ascii="宋体" w:hAnsi="宋体" w:eastAsia="宋体" w:cs="宋体"/>
          <w:color w:val="000000"/>
        </w:rPr>
        <w:t>13.3 因投标人自己理解错误，而造成投标人不能在全面理解招标人意图时，所作出的错误结论，责任由投标人自己承担。</w:t>
      </w:r>
    </w:p>
    <w:p>
      <w:pPr>
        <w:snapToGrid/>
        <w:spacing w:before="0" w:after="0" w:line="400" w:lineRule="exact"/>
        <w:ind w:firstLine="442" w:firstLineChars="200"/>
        <w:jc w:val="both"/>
      </w:pPr>
      <w:r>
        <w:rPr>
          <w:rFonts w:ascii="宋体" w:hAnsi="宋体" w:eastAsia="宋体" w:cs="宋体"/>
          <w:b/>
          <w:color w:val="000000"/>
        </w:rPr>
        <w:t>第十四条报价要求</w:t>
      </w:r>
    </w:p>
    <w:p>
      <w:pPr>
        <w:snapToGrid/>
        <w:spacing w:before="0" w:after="0" w:line="400" w:lineRule="exact"/>
        <w:ind w:firstLine="440" w:firstLineChars="200"/>
        <w:jc w:val="both"/>
      </w:pPr>
      <w:r>
        <w:rPr>
          <w:rFonts w:ascii="宋体" w:hAnsi="宋体" w:eastAsia="宋体" w:cs="宋体"/>
          <w:color w:val="000000"/>
        </w:rPr>
        <w:t>15.1 报价文件编制</w:t>
      </w:r>
    </w:p>
    <w:p>
      <w:pPr>
        <w:snapToGrid/>
        <w:spacing w:before="0" w:after="0" w:line="400" w:lineRule="exact"/>
        <w:ind w:firstLine="440" w:firstLineChars="200"/>
        <w:jc w:val="both"/>
      </w:pPr>
      <w:r>
        <w:rPr>
          <w:rFonts w:ascii="宋体" w:hAnsi="宋体" w:eastAsia="宋体" w:cs="宋体"/>
          <w:color w:val="000000"/>
        </w:rPr>
        <w:t>15.1.1  报价文件应包括：1．报价承诺函 2.法定代表人授权委托书3.承诺书4.报价清单。</w:t>
      </w:r>
    </w:p>
    <w:p>
      <w:pPr>
        <w:snapToGrid/>
        <w:spacing w:before="0" w:after="0" w:line="400" w:lineRule="exact"/>
        <w:ind w:firstLine="440" w:firstLineChars="200"/>
        <w:jc w:val="both"/>
      </w:pPr>
      <w:r>
        <w:rPr>
          <w:rFonts w:ascii="宋体" w:hAnsi="宋体" w:eastAsia="宋体" w:cs="宋体"/>
          <w:color w:val="000000"/>
        </w:rPr>
        <w:t>15.1.2  报价文件应使用A4纸打印，由投标人加盖公章，并有法定代表人或法定代表人授权委托的代理人印鉴或签字，</w:t>
      </w:r>
      <w:r>
        <w:rPr>
          <w:rFonts w:ascii="宋体" w:hAnsi="宋体" w:eastAsia="宋体" w:cs="宋体"/>
          <w:color w:val="000000"/>
          <w:sz w:val="21"/>
        </w:rPr>
        <w:t>投标文件共一式四份（一正三副）并胶装。</w:t>
      </w:r>
    </w:p>
    <w:p>
      <w:pPr>
        <w:snapToGrid/>
        <w:spacing w:before="0" w:after="0" w:line="400" w:lineRule="exact"/>
        <w:ind w:firstLine="440" w:firstLineChars="200"/>
        <w:jc w:val="both"/>
      </w:pPr>
      <w:r>
        <w:rPr>
          <w:rFonts w:ascii="宋体" w:hAnsi="宋体" w:eastAsia="宋体" w:cs="宋体"/>
          <w:color w:val="000000"/>
        </w:rPr>
        <w:t>15.1.3  全套报价文件应无涂改和行间插字（除非这些删改是根据招标人的指示进行的，或者是投标人造成的错误且必须修改的，修改处必须由报价文件签署人加盖印鉴）。</w:t>
      </w:r>
    </w:p>
    <w:p>
      <w:pPr>
        <w:snapToGrid/>
        <w:spacing w:before="0" w:after="0" w:line="400" w:lineRule="exact"/>
        <w:ind w:firstLine="440" w:firstLineChars="200"/>
        <w:jc w:val="both"/>
      </w:pPr>
      <w:r>
        <w:rPr>
          <w:rFonts w:ascii="宋体" w:hAnsi="宋体" w:eastAsia="宋体" w:cs="宋体"/>
          <w:color w:val="000000"/>
        </w:rPr>
        <w:t>15.1.4  投标人应当使用招标文件中所提供的文件格式填写，如不够用时，投标人可按同样格式自行编制和添补。</w:t>
      </w:r>
    </w:p>
    <w:p>
      <w:pPr>
        <w:snapToGrid/>
        <w:spacing w:before="0" w:after="0" w:line="400" w:lineRule="exact"/>
        <w:ind w:firstLine="440" w:firstLineChars="200"/>
        <w:jc w:val="both"/>
      </w:pPr>
      <w:r>
        <w:rPr>
          <w:rFonts w:ascii="宋体" w:hAnsi="宋体" w:eastAsia="宋体" w:cs="宋体"/>
          <w:color w:val="000000"/>
        </w:rPr>
        <w:t>15.1.5  密封：投标人必须将报价文件密封并加盖单位公章和法定代表人印章，填写好密封日期及在何时间之前不准启封的日期。</w:t>
      </w:r>
    </w:p>
    <w:p>
      <w:pPr>
        <w:snapToGrid/>
        <w:spacing w:before="0" w:after="0" w:line="400" w:lineRule="exact"/>
        <w:ind w:firstLine="398" w:firstLineChars="181"/>
        <w:jc w:val="both"/>
      </w:pPr>
      <w:r>
        <w:rPr>
          <w:rFonts w:ascii="宋体" w:hAnsi="宋体" w:eastAsia="宋体" w:cs="宋体"/>
          <w:color w:val="000000"/>
        </w:rPr>
        <w:t>15.2 报价文件的修改与撤回</w:t>
      </w:r>
    </w:p>
    <w:p>
      <w:pPr>
        <w:snapToGrid/>
        <w:spacing w:before="0" w:after="0" w:line="400" w:lineRule="exact"/>
        <w:ind w:firstLine="440" w:firstLineChars="200"/>
        <w:jc w:val="both"/>
      </w:pPr>
      <w:r>
        <w:rPr>
          <w:rFonts w:ascii="宋体" w:hAnsi="宋体" w:eastAsia="宋体" w:cs="宋体"/>
          <w:color w:val="000000"/>
        </w:rPr>
        <w:t>15.2.1  投标人在递交报价文件之后，在规定的报价截止日期之前，可以以书面形式向招标人递交补充、修改、替代或撤回其报价文件。在报价截止日期以后，不得更改报价文件。</w:t>
      </w:r>
    </w:p>
    <w:p>
      <w:pPr>
        <w:snapToGrid/>
        <w:spacing w:before="0" w:after="0" w:line="400" w:lineRule="exact"/>
        <w:ind w:firstLine="440" w:firstLineChars="200"/>
        <w:jc w:val="both"/>
      </w:pPr>
      <w:r>
        <w:rPr>
          <w:rFonts w:ascii="宋体" w:hAnsi="宋体" w:eastAsia="宋体" w:cs="宋体"/>
          <w:color w:val="000000"/>
        </w:rPr>
        <w:t>15.2.2  投标人需要补充、修改、替代或撤回报价文件时，密封袋上应标明“补充”、“修改”、“替代”或“撤回”等字样。</w:t>
      </w:r>
    </w:p>
    <w:p>
      <w:pPr>
        <w:snapToGrid/>
        <w:spacing w:before="0" w:after="0" w:line="400" w:lineRule="exact"/>
        <w:ind w:firstLine="440" w:firstLineChars="200"/>
        <w:jc w:val="both"/>
      </w:pPr>
      <w:r>
        <w:rPr>
          <w:rFonts w:ascii="宋体" w:hAnsi="宋体" w:eastAsia="宋体" w:cs="宋体"/>
          <w:color w:val="000000"/>
        </w:rPr>
        <w:t>15.2.3  报价截止以后，在报价有效期内，投标人不得撤回报价文件，否则其报价保证金不予退还。</w:t>
      </w:r>
    </w:p>
    <w:p>
      <w:pPr>
        <w:snapToGrid/>
        <w:spacing w:before="0" w:after="0" w:line="400" w:lineRule="exact"/>
        <w:ind w:firstLine="440" w:firstLineChars="200"/>
        <w:jc w:val="both"/>
      </w:pPr>
      <w:r>
        <w:rPr>
          <w:rFonts w:ascii="宋体" w:hAnsi="宋体" w:eastAsia="宋体" w:cs="宋体"/>
          <w:color w:val="000000"/>
        </w:rPr>
        <w:t>15.3报价文件递交与接收</w:t>
      </w:r>
    </w:p>
    <w:p>
      <w:pPr>
        <w:snapToGrid/>
        <w:spacing w:before="0" w:after="0" w:line="400" w:lineRule="exact"/>
        <w:ind w:firstLine="440" w:firstLineChars="200"/>
        <w:jc w:val="both"/>
      </w:pPr>
      <w:r>
        <w:rPr>
          <w:rFonts w:ascii="宋体" w:hAnsi="宋体" w:eastAsia="宋体" w:cs="宋体"/>
          <w:color w:val="000000"/>
        </w:rPr>
        <w:t>投标人须按照招标文件中规定的递交报价文件截止日期之前，将报价文件递交到指定地点。</w:t>
      </w:r>
    </w:p>
    <w:p>
      <w:pPr>
        <w:snapToGrid/>
        <w:spacing w:before="0" w:after="0" w:line="400" w:lineRule="exact"/>
        <w:ind w:firstLine="440" w:firstLineChars="200"/>
        <w:jc w:val="both"/>
      </w:pPr>
      <w:r>
        <w:rPr>
          <w:rFonts w:ascii="宋体" w:hAnsi="宋体" w:eastAsia="宋体" w:cs="宋体"/>
          <w:color w:val="000000"/>
        </w:rPr>
        <w:t>15.4报价文件有下列情形之一的，招标人不予受理：</w:t>
      </w:r>
    </w:p>
    <w:p>
      <w:pPr>
        <w:snapToGrid/>
        <w:spacing w:before="0" w:after="0" w:line="400" w:lineRule="exact"/>
        <w:ind w:firstLine="440" w:firstLineChars="200"/>
        <w:jc w:val="both"/>
      </w:pPr>
      <w:r>
        <w:rPr>
          <w:rFonts w:ascii="宋体" w:hAnsi="宋体" w:eastAsia="宋体" w:cs="宋体"/>
          <w:color w:val="000000"/>
        </w:rPr>
        <w:t>15.4.1逾期送达的或者未送达至指定地点的；</w:t>
      </w:r>
    </w:p>
    <w:p>
      <w:pPr>
        <w:snapToGrid/>
        <w:spacing w:before="0" w:after="0" w:line="400" w:lineRule="exact"/>
        <w:ind w:firstLine="440" w:firstLineChars="200"/>
        <w:jc w:val="both"/>
      </w:pPr>
      <w:r>
        <w:rPr>
          <w:rFonts w:ascii="宋体" w:hAnsi="宋体" w:eastAsia="宋体" w:cs="宋体"/>
          <w:color w:val="000000"/>
        </w:rPr>
        <w:t>15.4.2未按招标文件要求编制、签署、密封与递交的；</w:t>
      </w:r>
    </w:p>
    <w:p>
      <w:pPr>
        <w:snapToGrid/>
        <w:spacing w:before="0" w:after="0" w:line="400" w:lineRule="exact"/>
        <w:ind w:firstLine="440" w:firstLineChars="200"/>
        <w:jc w:val="both"/>
      </w:pPr>
      <w:r>
        <w:rPr>
          <w:rFonts w:ascii="宋体" w:hAnsi="宋体" w:eastAsia="宋体" w:cs="宋体"/>
          <w:color w:val="000000"/>
        </w:rPr>
        <w:t>15.4.3其他不具备受理的报价文件。</w:t>
      </w:r>
    </w:p>
    <w:p>
      <w:pPr>
        <w:snapToGrid/>
        <w:spacing w:before="0" w:after="0" w:line="400" w:lineRule="exact"/>
        <w:ind w:firstLine="550" w:firstLineChars="249"/>
        <w:jc w:val="both"/>
      </w:pPr>
      <w:r>
        <w:rPr>
          <w:rFonts w:ascii="宋体" w:hAnsi="宋体" w:eastAsia="宋体" w:cs="宋体"/>
          <w:b/>
          <w:color w:val="000000"/>
        </w:rPr>
        <w:t>第十六条报价费用</w:t>
      </w:r>
    </w:p>
    <w:p>
      <w:pPr>
        <w:snapToGrid/>
        <w:spacing w:before="0" w:after="0" w:line="400" w:lineRule="exact"/>
        <w:ind w:firstLine="539" w:firstLineChars="245"/>
        <w:jc w:val="both"/>
      </w:pPr>
      <w:r>
        <w:rPr>
          <w:rFonts w:ascii="宋体" w:hAnsi="宋体" w:eastAsia="宋体" w:cs="宋体"/>
          <w:color w:val="000000"/>
        </w:rPr>
        <w:t>16.1 无论报价结果如何，投标人应自行承担其参与该报价活动所需一切费用，招标人对投标人不予任何补偿。</w:t>
      </w:r>
    </w:p>
    <w:p>
      <w:pPr>
        <w:snapToGrid/>
        <w:spacing w:before="0" w:after="0" w:line="400" w:lineRule="exact"/>
        <w:ind w:firstLine="552" w:firstLineChars="250"/>
        <w:jc w:val="both"/>
      </w:pPr>
      <w:r>
        <w:rPr>
          <w:rFonts w:ascii="宋体" w:hAnsi="宋体" w:eastAsia="宋体" w:cs="宋体"/>
          <w:b/>
          <w:color w:val="000000"/>
        </w:rPr>
        <w:t>第十七条报价保证与履约保证金</w:t>
      </w:r>
      <w:r>
        <w:rPr>
          <w:rFonts w:ascii="宋体" w:hAnsi="宋体" w:eastAsia="宋体" w:cs="宋体"/>
          <w:color w:val="000000"/>
        </w:rPr>
        <w:t>：</w:t>
      </w:r>
    </w:p>
    <w:p>
      <w:pPr>
        <w:snapToGrid/>
        <w:spacing w:before="0" w:after="0" w:line="400" w:lineRule="exact"/>
        <w:ind w:firstLine="550" w:firstLineChars="250"/>
        <w:jc w:val="both"/>
      </w:pPr>
      <w:r>
        <w:rPr>
          <w:rFonts w:ascii="宋体" w:hAnsi="宋体" w:eastAsia="宋体" w:cs="宋体"/>
          <w:color w:val="000000"/>
        </w:rPr>
        <w:t xml:space="preserve">17.1  </w:t>
      </w:r>
      <w:r>
        <w:rPr>
          <w:rFonts w:ascii="宋体" w:hAnsi="宋体" w:eastAsia="宋体" w:cs="宋体"/>
          <w:b/>
          <w:color w:val="000000"/>
        </w:rPr>
        <w:t>本工程投标保证金为500000.00元（伍拾万整）</w:t>
      </w:r>
      <w:r>
        <w:rPr>
          <w:rFonts w:ascii="宋体" w:hAnsi="宋体" w:eastAsia="宋体" w:cs="宋体"/>
          <w:color w:val="000000"/>
        </w:rPr>
        <w:t>，报价保证金汇缴及退付以转账形式进行。报价保证金款项必须从投标人的账户中汇出。报价保证金必须在开标前到达安徽新集矿山建设工程有限公司银行账户，报价保证金递交信息如下：</w:t>
      </w:r>
    </w:p>
    <w:p>
      <w:pPr>
        <w:snapToGrid/>
        <w:spacing w:before="0" w:after="0" w:line="400" w:lineRule="exact"/>
        <w:ind w:firstLine="550" w:firstLineChars="250"/>
        <w:jc w:val="both"/>
      </w:pPr>
      <w:r>
        <w:rPr>
          <w:rFonts w:ascii="宋体" w:hAnsi="宋体" w:eastAsia="宋体" w:cs="宋体"/>
          <w:color w:val="000000"/>
        </w:rPr>
        <w:t>名称：安徽新集矿山建设工程有限公司</w:t>
      </w:r>
    </w:p>
    <w:p>
      <w:pPr>
        <w:snapToGrid/>
        <w:spacing w:before="0" w:after="0" w:line="400" w:lineRule="exact"/>
        <w:ind w:firstLine="550" w:firstLineChars="250"/>
        <w:jc w:val="both"/>
      </w:pPr>
      <w:r>
        <w:rPr>
          <w:rFonts w:ascii="宋体" w:hAnsi="宋体" w:eastAsia="宋体" w:cs="宋体"/>
          <w:color w:val="000000"/>
        </w:rPr>
        <w:t xml:space="preserve">账号：181205791225  </w:t>
      </w:r>
    </w:p>
    <w:p>
      <w:pPr>
        <w:snapToGrid/>
        <w:spacing w:before="0" w:after="0" w:line="400" w:lineRule="exact"/>
        <w:ind w:firstLine="550" w:firstLineChars="250"/>
        <w:jc w:val="both"/>
      </w:pPr>
      <w:r>
        <w:rPr>
          <w:rFonts w:ascii="宋体" w:hAnsi="宋体" w:eastAsia="宋体" w:cs="宋体"/>
          <w:color w:val="000000"/>
        </w:rPr>
        <w:t>开户行：中国银行淮南新集支行</w:t>
      </w:r>
    </w:p>
    <w:p>
      <w:pPr>
        <w:snapToGrid/>
        <w:spacing w:before="0" w:after="0" w:line="400" w:lineRule="exact"/>
        <w:ind w:firstLine="550" w:firstLineChars="250"/>
        <w:jc w:val="both"/>
      </w:pPr>
      <w:r>
        <w:rPr>
          <w:rFonts w:ascii="宋体" w:hAnsi="宋体" w:eastAsia="宋体" w:cs="宋体"/>
          <w:color w:val="000000"/>
        </w:rPr>
        <w:t>17.2  报价保证金的退还：报价截止之日起未被采纳人在10个工作日内无息退还报价保证金，被采纳人报价保证金将直接转为履约保证金。</w:t>
      </w:r>
    </w:p>
    <w:p>
      <w:pPr>
        <w:snapToGrid/>
        <w:spacing w:before="0" w:after="0" w:line="400" w:lineRule="exact"/>
        <w:ind w:firstLine="550" w:firstLineChars="250"/>
        <w:jc w:val="both"/>
        <w:rPr>
          <w:rFonts w:ascii="宋体" w:hAnsi="宋体" w:eastAsia="宋体" w:cs="宋体"/>
          <w:color w:val="000000" w:themeColor="text1"/>
        </w:rPr>
      </w:pPr>
      <w:r>
        <w:rPr>
          <w:rFonts w:ascii="宋体" w:hAnsi="宋体" w:eastAsia="宋体" w:cs="宋体"/>
          <w:color w:val="000000"/>
        </w:rPr>
        <w:t>17.3  履约保证金为5000000.00元（大写：伍佰万），被采纳人应于签订合同之前向招标人通过银行</w:t>
      </w:r>
      <w:r>
        <w:rPr>
          <w:rFonts w:ascii="宋体" w:hAnsi="宋体" w:eastAsia="宋体" w:cs="宋体"/>
          <w:color w:val="000000" w:themeColor="text1"/>
        </w:rPr>
        <w:t>转账方式缴纳，招标人提供收据。履约保证金在项目竣工验收后，扣除违约金，一次性无息退还。</w:t>
      </w:r>
    </w:p>
    <w:p>
      <w:pPr>
        <w:snapToGrid/>
        <w:spacing w:before="0" w:after="0" w:line="400" w:lineRule="exact"/>
        <w:ind w:firstLine="442" w:firstLineChars="200"/>
        <w:jc w:val="both"/>
      </w:pPr>
      <w:r>
        <w:rPr>
          <w:rFonts w:ascii="宋体" w:hAnsi="宋体" w:eastAsia="宋体" w:cs="宋体"/>
          <w:b/>
          <w:color w:val="000000"/>
        </w:rPr>
        <w:t>第十八条报价截止时间与开标地点</w:t>
      </w:r>
    </w:p>
    <w:p>
      <w:pPr>
        <w:snapToGrid/>
        <w:spacing w:before="0" w:after="0" w:line="400" w:lineRule="exact"/>
        <w:ind w:firstLine="440" w:firstLineChars="200"/>
        <w:jc w:val="both"/>
      </w:pPr>
      <w:r>
        <w:rPr>
          <w:rFonts w:ascii="宋体" w:hAnsi="宋体" w:eastAsia="宋体" w:cs="宋体"/>
          <w:color w:val="000000"/>
        </w:rPr>
        <w:t>18.1 本工程于</w:t>
      </w:r>
      <w:r>
        <w:rPr>
          <w:rFonts w:hint="eastAsia" w:ascii="宋体" w:hAnsi="宋体" w:eastAsia="宋体" w:cs="宋体"/>
          <w:color w:val="000000"/>
          <w:lang w:val="en-US" w:eastAsia="zh-CN"/>
        </w:rPr>
        <w:t>2024</w:t>
      </w:r>
      <w:r>
        <w:rPr>
          <w:rFonts w:ascii="宋体" w:hAnsi="宋体" w:eastAsia="宋体" w:cs="宋体"/>
          <w:color w:val="000000"/>
        </w:rPr>
        <w:t>年</w:t>
      </w:r>
      <w:r>
        <w:rPr>
          <w:rFonts w:hint="eastAsia" w:ascii="宋体" w:hAnsi="宋体" w:eastAsia="宋体" w:cs="宋体"/>
          <w:color w:val="000000"/>
          <w:lang w:val="en-US" w:eastAsia="zh-CN"/>
        </w:rPr>
        <w:t>3</w:t>
      </w:r>
      <w:r>
        <w:rPr>
          <w:rFonts w:ascii="宋体" w:hAnsi="宋体" w:eastAsia="宋体" w:cs="宋体"/>
          <w:color w:val="000000"/>
        </w:rPr>
        <w:t>月</w:t>
      </w:r>
      <w:r>
        <w:rPr>
          <w:rFonts w:hint="eastAsia" w:ascii="宋体" w:hAnsi="宋体" w:eastAsia="宋体" w:cs="宋体"/>
          <w:color w:val="000000"/>
          <w:lang w:val="en-US" w:eastAsia="zh-CN"/>
        </w:rPr>
        <w:t>22</w:t>
      </w:r>
      <w:r>
        <w:rPr>
          <w:rFonts w:ascii="宋体" w:hAnsi="宋体" w:eastAsia="宋体" w:cs="宋体"/>
          <w:color w:val="000000"/>
        </w:rPr>
        <w:t>日10时报价截止。</w:t>
      </w:r>
    </w:p>
    <w:p>
      <w:pPr>
        <w:snapToGrid/>
        <w:spacing w:before="0" w:after="0" w:line="288" w:lineRule="auto"/>
        <w:ind w:firstLine="440" w:firstLineChars="200"/>
        <w:jc w:val="both"/>
        <w:rPr>
          <w:rFonts w:ascii="宋体" w:hAnsi="宋体" w:eastAsia="宋体" w:cs="宋体"/>
          <w:color w:val="000000"/>
          <w:sz w:val="21"/>
        </w:rPr>
      </w:pPr>
      <w:r>
        <w:rPr>
          <w:rFonts w:ascii="宋体" w:hAnsi="宋体" w:eastAsia="宋体" w:cs="宋体"/>
          <w:color w:val="000000"/>
        </w:rPr>
        <w:t xml:space="preserve">18.2 </w:t>
      </w:r>
      <w:r>
        <w:rPr>
          <w:rFonts w:ascii="宋体" w:hAnsi="宋体" w:eastAsia="宋体" w:cs="宋体"/>
          <w:color w:val="000000"/>
          <w:sz w:val="21"/>
        </w:rPr>
        <w:t>投标文件递交</w:t>
      </w:r>
      <w:r>
        <w:rPr>
          <w:rFonts w:hint="eastAsia" w:ascii="宋体" w:hAnsi="宋体" w:eastAsia="宋体" w:cs="宋体"/>
          <w:color w:val="000000"/>
          <w:sz w:val="21"/>
          <w:lang w:val="en-US" w:eastAsia="zh-CN"/>
        </w:rPr>
        <w:t>及开标</w:t>
      </w:r>
      <w:r>
        <w:rPr>
          <w:rFonts w:ascii="宋体" w:hAnsi="宋体" w:eastAsia="宋体" w:cs="宋体"/>
          <w:color w:val="000000"/>
          <w:sz w:val="21"/>
        </w:rPr>
        <w:t>地址：安徽省淮南市田区新舜大厦7楼。</w:t>
      </w:r>
    </w:p>
    <w:p>
      <w:pPr>
        <w:snapToGrid/>
        <w:spacing w:before="0" w:after="0" w:line="288" w:lineRule="auto"/>
        <w:ind w:firstLine="420" w:firstLineChars="200"/>
        <w:jc w:val="both"/>
        <w:rPr>
          <w:rFonts w:hint="default" w:ascii="宋体" w:hAnsi="宋体" w:eastAsia="宋体" w:cs="宋体"/>
          <w:color w:val="000000"/>
          <w:sz w:val="21"/>
          <w:lang w:val="en-US" w:eastAsia="zh-CN"/>
        </w:rPr>
      </w:pPr>
      <w:r>
        <w:rPr>
          <w:rFonts w:hint="eastAsia" w:ascii="宋体" w:hAnsi="宋体" w:eastAsia="宋体" w:cs="宋体"/>
          <w:color w:val="000000"/>
          <w:sz w:val="21"/>
          <w:lang w:val="en-US" w:eastAsia="zh-CN"/>
        </w:rPr>
        <w:t>18.3开标时间：</w:t>
      </w:r>
      <w:r>
        <w:rPr>
          <w:rFonts w:hint="eastAsia" w:ascii="宋体" w:hAnsi="宋体" w:eastAsia="宋体" w:cs="宋体"/>
          <w:color w:val="000000"/>
          <w:lang w:val="en-US" w:eastAsia="zh-CN"/>
        </w:rPr>
        <w:t>2024</w:t>
      </w:r>
      <w:r>
        <w:rPr>
          <w:rFonts w:ascii="宋体" w:hAnsi="宋体" w:eastAsia="宋体" w:cs="宋体"/>
          <w:color w:val="000000"/>
        </w:rPr>
        <w:t>年</w:t>
      </w:r>
      <w:r>
        <w:rPr>
          <w:rFonts w:hint="eastAsia" w:ascii="宋体" w:hAnsi="宋体" w:eastAsia="宋体" w:cs="宋体"/>
          <w:color w:val="000000"/>
          <w:lang w:val="en-US" w:eastAsia="zh-CN"/>
        </w:rPr>
        <w:t>3</w:t>
      </w:r>
      <w:r>
        <w:rPr>
          <w:rFonts w:ascii="宋体" w:hAnsi="宋体" w:eastAsia="宋体" w:cs="宋体"/>
          <w:color w:val="000000"/>
        </w:rPr>
        <w:t>月</w:t>
      </w:r>
      <w:r>
        <w:rPr>
          <w:rFonts w:hint="eastAsia" w:ascii="宋体" w:hAnsi="宋体" w:eastAsia="宋体" w:cs="宋体"/>
          <w:color w:val="000000"/>
          <w:lang w:val="en-US" w:eastAsia="zh-CN"/>
        </w:rPr>
        <w:t>22</w:t>
      </w:r>
      <w:r>
        <w:rPr>
          <w:rFonts w:ascii="宋体" w:hAnsi="宋体" w:eastAsia="宋体" w:cs="宋体"/>
          <w:color w:val="000000"/>
        </w:rPr>
        <w:t>日10时</w:t>
      </w:r>
    </w:p>
    <w:p>
      <w:pPr>
        <w:snapToGrid/>
        <w:spacing w:before="0" w:after="0" w:line="288" w:lineRule="auto"/>
        <w:ind w:firstLine="442" w:firstLineChars="200"/>
        <w:jc w:val="both"/>
      </w:pPr>
      <w:r>
        <w:rPr>
          <w:rFonts w:ascii="宋体" w:hAnsi="宋体" w:eastAsia="宋体" w:cs="宋体"/>
          <w:b/>
          <w:color w:val="000000"/>
        </w:rPr>
        <w:t>第十九条招标文件的解释</w:t>
      </w:r>
    </w:p>
    <w:p>
      <w:pPr>
        <w:snapToGrid/>
        <w:spacing w:before="0" w:after="0" w:line="400" w:lineRule="exact"/>
        <w:ind w:firstLine="440" w:firstLineChars="200"/>
        <w:jc w:val="both"/>
      </w:pPr>
      <w:r>
        <w:rPr>
          <w:rFonts w:ascii="宋体" w:hAnsi="宋体" w:eastAsia="宋体" w:cs="宋体"/>
          <w:color w:val="000000"/>
        </w:rPr>
        <w:t>本文件的最终解释权为安徽新集矿山建设工程有限公司所有。</w:t>
      </w:r>
    </w:p>
    <w:p>
      <w:pPr>
        <w:snapToGrid/>
        <w:spacing w:before="0" w:after="0" w:line="400" w:lineRule="exact"/>
        <w:ind w:firstLine="442" w:firstLineChars="200"/>
        <w:jc w:val="both"/>
      </w:pPr>
      <w:r>
        <w:rPr>
          <w:rFonts w:ascii="宋体" w:hAnsi="宋体" w:eastAsia="宋体" w:cs="宋体"/>
          <w:b/>
          <w:color w:val="000000"/>
        </w:rPr>
        <w:t> </w:t>
      </w:r>
    </w:p>
    <w:p>
      <w:pPr>
        <w:snapToGrid/>
        <w:spacing w:before="0" w:after="0" w:line="400" w:lineRule="exact"/>
        <w:ind w:firstLine="442" w:firstLineChars="200"/>
        <w:jc w:val="both"/>
      </w:pPr>
      <w:r>
        <w:rPr>
          <w:rFonts w:ascii="宋体" w:hAnsi="宋体" w:eastAsia="宋体" w:cs="宋体"/>
          <w:b/>
          <w:color w:val="000000"/>
        </w:rPr>
        <w:t>附件：</w:t>
      </w:r>
      <w:r>
        <w:rPr>
          <w:rFonts w:ascii="宋体" w:hAnsi="宋体" w:eastAsia="宋体" w:cs="宋体"/>
          <w:color w:val="000000"/>
        </w:rPr>
        <w:t>1.《法人授权委托书》</w:t>
      </w:r>
    </w:p>
    <w:p>
      <w:pPr>
        <w:snapToGrid/>
        <w:spacing w:before="0" w:after="0" w:line="400" w:lineRule="exact"/>
        <w:ind w:firstLine="1100" w:firstLineChars="500"/>
        <w:jc w:val="both"/>
      </w:pPr>
      <w:r>
        <w:rPr>
          <w:rFonts w:ascii="宋体" w:hAnsi="宋体" w:eastAsia="宋体" w:cs="宋体"/>
          <w:color w:val="000000"/>
        </w:rPr>
        <w:t>2.《承诺书》</w:t>
      </w:r>
    </w:p>
    <w:p>
      <w:pPr>
        <w:snapToGrid/>
        <w:spacing w:before="0" w:after="0" w:line="400" w:lineRule="exact"/>
        <w:ind w:firstLine="1100" w:firstLineChars="500"/>
        <w:jc w:val="both"/>
      </w:pPr>
      <w:r>
        <w:rPr>
          <w:rFonts w:ascii="宋体" w:hAnsi="宋体" w:eastAsia="宋体" w:cs="宋体"/>
          <w:color w:val="000000"/>
        </w:rPr>
        <w:t>3.《劳务项目报价表》</w:t>
      </w:r>
    </w:p>
    <w:p>
      <w:pPr>
        <w:snapToGrid/>
        <w:spacing w:before="0" w:after="0" w:line="400" w:lineRule="exact"/>
        <w:ind w:firstLine="2880" w:firstLineChars="1200"/>
        <w:jc w:val="both"/>
      </w:pPr>
      <w:r>
        <w:rPr>
          <w:rFonts w:ascii="'Times New Roman'" w:hAnsi="'Times New Roman'" w:eastAsia="'Times New Roman'" w:cs="'Times New Roman'"/>
          <w:color w:val="000000"/>
          <w:spacing w:val="20"/>
          <w:sz w:val="20"/>
        </w:rPr>
        <w:t> </w:t>
      </w:r>
    </w:p>
    <w:p>
      <w:pPr>
        <w:snapToGrid/>
        <w:spacing w:before="0" w:after="0" w:line="400" w:lineRule="exact"/>
        <w:ind w:firstLine="2880" w:firstLineChars="1200"/>
        <w:jc w:val="both"/>
        <w:rPr>
          <w:rFonts w:ascii="'Times New Roman'" w:hAnsi="'Times New Roman'" w:eastAsia="'Times New Roman'" w:cs="'Times New Roman'"/>
          <w:color w:val="000000"/>
          <w:spacing w:val="20"/>
          <w:sz w:val="20"/>
        </w:rPr>
      </w:pPr>
    </w:p>
    <w:p>
      <w:pPr>
        <w:snapToGrid/>
        <w:spacing w:before="0" w:after="0" w:line="400" w:lineRule="exact"/>
        <w:ind w:firstLine="2880" w:firstLineChars="1200"/>
        <w:jc w:val="both"/>
        <w:rPr>
          <w:rFonts w:ascii="'Times New Roman'" w:hAnsi="'Times New Roman'" w:eastAsia="'Times New Roman'" w:cs="'Times New Roman'"/>
          <w:color w:val="000000"/>
          <w:spacing w:val="20"/>
          <w:sz w:val="20"/>
        </w:rPr>
      </w:pPr>
    </w:p>
    <w:p>
      <w:pPr>
        <w:snapToGrid/>
        <w:spacing w:before="0" w:after="0" w:line="400" w:lineRule="exact"/>
        <w:ind w:firstLine="2880" w:firstLineChars="1200"/>
        <w:jc w:val="both"/>
        <w:rPr>
          <w:rFonts w:ascii="'Times New Roman'" w:hAnsi="'Times New Roman'" w:eastAsia="'Times New Roman'" w:cs="'Times New Roman'"/>
          <w:color w:val="000000"/>
          <w:spacing w:val="20"/>
          <w:sz w:val="20"/>
        </w:rPr>
      </w:pPr>
    </w:p>
    <w:p>
      <w:pPr>
        <w:snapToGrid/>
        <w:spacing w:before="0" w:after="0" w:line="400" w:lineRule="exact"/>
        <w:ind w:firstLine="2880" w:firstLineChars="1200"/>
        <w:jc w:val="both"/>
        <w:rPr>
          <w:rFonts w:ascii="'Times New Roman'" w:hAnsi="'Times New Roman'" w:eastAsia="'Times New Roman'" w:cs="'Times New Roman'"/>
          <w:color w:val="000000"/>
          <w:spacing w:val="20"/>
          <w:sz w:val="20"/>
        </w:rPr>
      </w:pPr>
    </w:p>
    <w:p>
      <w:pPr>
        <w:snapToGrid/>
        <w:spacing w:before="0" w:after="0" w:line="400" w:lineRule="exact"/>
        <w:ind w:firstLine="2880" w:firstLineChars="1200"/>
        <w:jc w:val="both"/>
        <w:rPr>
          <w:rFonts w:ascii="'Times New Roman'" w:hAnsi="'Times New Roman'" w:eastAsia="'Times New Roman'" w:cs="'Times New Roman'"/>
          <w:color w:val="000000"/>
          <w:spacing w:val="20"/>
          <w:sz w:val="20"/>
        </w:rPr>
      </w:pPr>
    </w:p>
    <w:p>
      <w:pPr>
        <w:snapToGrid/>
        <w:spacing w:before="0" w:after="0" w:line="400" w:lineRule="exact"/>
        <w:ind w:firstLine="2880" w:firstLineChars="1200"/>
        <w:jc w:val="both"/>
        <w:rPr>
          <w:rFonts w:ascii="'Times New Roman'" w:hAnsi="'Times New Roman'" w:eastAsia="'Times New Roman'" w:cs="'Times New Roman'"/>
          <w:color w:val="000000"/>
          <w:spacing w:val="20"/>
          <w:sz w:val="20"/>
        </w:rPr>
      </w:pPr>
    </w:p>
    <w:p>
      <w:pPr>
        <w:snapToGrid/>
        <w:spacing w:before="0" w:after="0" w:line="400" w:lineRule="exact"/>
        <w:ind w:firstLine="2880" w:firstLineChars="1200"/>
        <w:jc w:val="both"/>
        <w:rPr>
          <w:rFonts w:ascii="'Times New Roman'" w:hAnsi="'Times New Roman'" w:eastAsia="'Times New Roman'" w:cs="'Times New Roman'"/>
          <w:color w:val="000000"/>
          <w:spacing w:val="20"/>
          <w:sz w:val="20"/>
        </w:rPr>
      </w:pPr>
    </w:p>
    <w:p>
      <w:pPr>
        <w:snapToGrid/>
        <w:spacing w:before="0" w:after="0" w:line="400" w:lineRule="exact"/>
        <w:ind w:firstLine="2880" w:firstLineChars="1200"/>
        <w:jc w:val="both"/>
        <w:rPr>
          <w:rFonts w:ascii="'Times New Roman'" w:hAnsi="'Times New Roman'" w:eastAsia="'Times New Roman'" w:cs="'Times New Roman'"/>
          <w:color w:val="000000"/>
          <w:spacing w:val="20"/>
          <w:sz w:val="20"/>
        </w:rPr>
      </w:pPr>
    </w:p>
    <w:p>
      <w:pPr>
        <w:snapToGrid/>
        <w:spacing w:before="0" w:after="0" w:line="400" w:lineRule="exact"/>
        <w:ind w:firstLine="2880" w:firstLineChars="1200"/>
        <w:jc w:val="both"/>
        <w:rPr>
          <w:rFonts w:ascii="'Times New Roman'" w:hAnsi="'Times New Roman'" w:eastAsia="'Times New Roman'" w:cs="'Times New Roman'"/>
          <w:color w:val="000000"/>
          <w:spacing w:val="20"/>
          <w:sz w:val="20"/>
        </w:rPr>
      </w:pPr>
    </w:p>
    <w:p>
      <w:pPr>
        <w:snapToGrid/>
        <w:spacing w:before="0" w:after="0" w:line="400" w:lineRule="exact"/>
        <w:ind w:firstLine="2880" w:firstLineChars="1200"/>
        <w:jc w:val="both"/>
        <w:rPr>
          <w:rFonts w:ascii="'Times New Roman'" w:hAnsi="'Times New Roman'" w:eastAsia="'Times New Roman'" w:cs="'Times New Roman'"/>
          <w:color w:val="000000"/>
          <w:spacing w:val="20"/>
          <w:sz w:val="20"/>
        </w:rPr>
      </w:pPr>
    </w:p>
    <w:p>
      <w:pPr>
        <w:snapToGrid/>
        <w:spacing w:before="0" w:after="0" w:line="400" w:lineRule="exact"/>
        <w:ind w:firstLine="2880" w:firstLineChars="1200"/>
        <w:jc w:val="both"/>
        <w:rPr>
          <w:rFonts w:ascii="'Times New Roman'" w:hAnsi="'Times New Roman'" w:eastAsia="'Times New Roman'" w:cs="'Times New Roman'"/>
          <w:color w:val="000000"/>
          <w:spacing w:val="20"/>
          <w:sz w:val="20"/>
        </w:rPr>
      </w:pPr>
    </w:p>
    <w:p>
      <w:pPr>
        <w:snapToGrid/>
        <w:spacing w:before="0" w:after="0" w:line="400" w:lineRule="exact"/>
        <w:ind w:firstLine="2880" w:firstLineChars="1200"/>
        <w:jc w:val="both"/>
        <w:rPr>
          <w:rFonts w:ascii="'Times New Roman'" w:hAnsi="'Times New Roman'" w:eastAsia="'Times New Roman'" w:cs="'Times New Roman'"/>
          <w:color w:val="000000"/>
          <w:spacing w:val="20"/>
          <w:sz w:val="20"/>
        </w:rPr>
      </w:pPr>
    </w:p>
    <w:p>
      <w:pPr>
        <w:snapToGrid/>
        <w:spacing w:before="0" w:after="0" w:line="400" w:lineRule="exact"/>
        <w:ind w:firstLine="2880" w:firstLineChars="1200"/>
        <w:jc w:val="both"/>
        <w:rPr>
          <w:rFonts w:ascii="'Times New Roman'" w:hAnsi="'Times New Roman'" w:eastAsia="'Times New Roman'" w:cs="'Times New Roman'"/>
          <w:color w:val="000000"/>
          <w:spacing w:val="20"/>
          <w:sz w:val="20"/>
        </w:rPr>
      </w:pPr>
    </w:p>
    <w:p>
      <w:pPr>
        <w:snapToGrid/>
        <w:spacing w:before="0" w:after="0" w:line="400" w:lineRule="exact"/>
        <w:ind w:firstLine="2880" w:firstLineChars="1200"/>
        <w:jc w:val="both"/>
        <w:rPr>
          <w:rFonts w:ascii="'Times New Roman'" w:hAnsi="'Times New Roman'" w:eastAsia="'Times New Roman'" w:cs="'Times New Roman'"/>
          <w:color w:val="000000"/>
          <w:spacing w:val="20"/>
          <w:sz w:val="20"/>
        </w:rPr>
      </w:pPr>
    </w:p>
    <w:p>
      <w:pPr>
        <w:snapToGrid/>
        <w:spacing w:before="0" w:after="0" w:line="400" w:lineRule="exact"/>
        <w:ind w:firstLine="2880" w:firstLineChars="1200"/>
        <w:jc w:val="both"/>
        <w:rPr>
          <w:rFonts w:ascii="'Times New Roman'" w:hAnsi="'Times New Roman'" w:eastAsia="'Times New Roman'" w:cs="'Times New Roman'"/>
          <w:color w:val="000000"/>
          <w:spacing w:val="20"/>
          <w:sz w:val="20"/>
        </w:rPr>
      </w:pPr>
    </w:p>
    <w:p>
      <w:pPr>
        <w:snapToGrid/>
        <w:spacing w:before="0" w:after="0" w:line="400" w:lineRule="exact"/>
        <w:ind w:firstLine="2880" w:firstLineChars="1200"/>
        <w:jc w:val="both"/>
        <w:rPr>
          <w:rFonts w:ascii="'Times New Roman'" w:hAnsi="'Times New Roman'" w:eastAsia="'Times New Roman'" w:cs="'Times New Roman'"/>
          <w:color w:val="000000"/>
          <w:spacing w:val="20"/>
          <w:sz w:val="20"/>
        </w:rPr>
      </w:pPr>
    </w:p>
    <w:p>
      <w:pPr>
        <w:snapToGrid/>
        <w:spacing w:before="0" w:after="0" w:line="400" w:lineRule="exact"/>
        <w:ind w:firstLine="2880" w:firstLineChars="1200"/>
        <w:jc w:val="both"/>
        <w:rPr>
          <w:rFonts w:ascii="'Times New Roman'" w:hAnsi="'Times New Roman'" w:eastAsia="'Times New Roman'" w:cs="'Times New Roman'"/>
          <w:color w:val="000000"/>
          <w:spacing w:val="20"/>
          <w:sz w:val="20"/>
        </w:rPr>
      </w:pPr>
    </w:p>
    <w:p>
      <w:pPr>
        <w:snapToGrid/>
        <w:spacing w:before="0" w:after="0" w:line="400" w:lineRule="exact"/>
        <w:ind w:firstLine="2880" w:firstLineChars="1200"/>
        <w:jc w:val="both"/>
      </w:pPr>
      <w:r>
        <w:rPr>
          <w:rFonts w:ascii="'Times New Roman'" w:hAnsi="'Times New Roman'" w:eastAsia="'Times New Roman'" w:cs="'Times New Roman'"/>
          <w:color w:val="000000"/>
          <w:spacing w:val="20"/>
          <w:sz w:val="20"/>
        </w:rPr>
        <w:t> </w:t>
      </w:r>
    </w:p>
    <w:p>
      <w:pPr>
        <w:snapToGrid/>
        <w:spacing w:before="0" w:after="0" w:line="400" w:lineRule="exact"/>
        <w:ind w:firstLine="2880" w:firstLineChars="1200"/>
        <w:jc w:val="both"/>
      </w:pPr>
      <w:r>
        <w:rPr>
          <w:rFonts w:ascii="'Times New Roman'" w:hAnsi="'Times New Roman'" w:eastAsia="'Times New Roman'" w:cs="'Times New Roman'"/>
          <w:color w:val="000000"/>
          <w:spacing w:val="20"/>
          <w:sz w:val="20"/>
        </w:rPr>
        <w:t> </w:t>
      </w:r>
    </w:p>
    <w:p>
      <w:pPr>
        <w:snapToGrid/>
        <w:spacing w:before="0" w:after="0" w:line="400" w:lineRule="exact"/>
        <w:ind w:firstLine="2880" w:firstLineChars="1200"/>
        <w:jc w:val="both"/>
      </w:pPr>
      <w:r>
        <w:rPr>
          <w:rFonts w:ascii="'Times New Roman'" w:hAnsi="'Times New Roman'" w:eastAsia="'Times New Roman'" w:cs="'Times New Roman'"/>
          <w:color w:val="000000"/>
          <w:spacing w:val="20"/>
          <w:sz w:val="20"/>
        </w:rPr>
        <w:t> </w:t>
      </w:r>
    </w:p>
    <w:p>
      <w:pPr>
        <w:snapToGrid/>
        <w:spacing w:before="0" w:after="0" w:line="400" w:lineRule="exact"/>
        <w:ind w:firstLine="2880" w:firstLineChars="1200"/>
        <w:jc w:val="both"/>
      </w:pPr>
      <w:r>
        <w:rPr>
          <w:rFonts w:ascii="'Times New Roman'" w:hAnsi="'Times New Roman'" w:eastAsia="'Times New Roman'" w:cs="'Times New Roman'"/>
          <w:color w:val="000000"/>
          <w:spacing w:val="20"/>
          <w:sz w:val="20"/>
        </w:rPr>
        <w:t> </w:t>
      </w:r>
    </w:p>
    <w:p>
      <w:pPr>
        <w:spacing w:before="0" w:after="0" w:line="400" w:lineRule="exact"/>
        <w:jc w:val="both"/>
      </w:pPr>
      <w:r>
        <w:rPr>
          <w:rFonts w:ascii="宋体" w:hAnsi="宋体" w:eastAsia="宋体" w:cs="宋体"/>
          <w:color w:val="000000"/>
          <w:sz w:val="20"/>
        </w:rPr>
        <w:t> </w:t>
      </w:r>
    </w:p>
    <w:p>
      <w:pPr>
        <w:spacing w:before="0" w:after="0" w:line="400" w:lineRule="exact"/>
        <w:jc w:val="both"/>
      </w:pPr>
      <w:r>
        <w:rPr>
          <w:rFonts w:ascii="宋体" w:hAnsi="宋体" w:eastAsia="宋体" w:cs="宋体"/>
          <w:color w:val="000000"/>
          <w:sz w:val="20"/>
        </w:rPr>
        <w:t> </w:t>
      </w:r>
    </w:p>
    <w:p>
      <w:pPr>
        <w:spacing w:before="0" w:after="0" w:line="400" w:lineRule="exact"/>
        <w:jc w:val="both"/>
      </w:pPr>
      <w:r>
        <w:rPr>
          <w:rFonts w:ascii="宋体" w:hAnsi="宋体" w:eastAsia="宋体" w:cs="宋体"/>
          <w:color w:val="000000"/>
          <w:sz w:val="20"/>
        </w:rPr>
        <w:t> </w:t>
      </w:r>
    </w:p>
    <w:p>
      <w:pPr>
        <w:spacing w:before="0" w:after="0" w:line="400" w:lineRule="exact"/>
        <w:jc w:val="both"/>
      </w:pPr>
      <w:r>
        <w:rPr>
          <w:rFonts w:ascii="宋体" w:hAnsi="宋体" w:eastAsia="宋体" w:cs="宋体"/>
          <w:color w:val="000000"/>
          <w:sz w:val="20"/>
        </w:rPr>
        <w:t> </w:t>
      </w:r>
    </w:p>
    <w:p>
      <w:pPr>
        <w:spacing w:before="0" w:after="0" w:line="400" w:lineRule="exact"/>
        <w:jc w:val="both"/>
      </w:pPr>
      <w:r>
        <w:rPr>
          <w:rFonts w:ascii="宋体" w:hAnsi="宋体" w:eastAsia="宋体" w:cs="宋体"/>
          <w:color w:val="000000"/>
          <w:sz w:val="20"/>
        </w:rPr>
        <w:t>附件一</w:t>
      </w:r>
    </w:p>
    <w:p>
      <w:pPr>
        <w:snapToGrid/>
        <w:spacing w:before="0" w:after="0" w:line="640" w:lineRule="exact"/>
        <w:jc w:val="center"/>
      </w:pPr>
      <w:r>
        <w:rPr>
          <w:rFonts w:ascii="宋体" w:hAnsi="宋体" w:eastAsia="宋体" w:cs="宋体"/>
          <w:b/>
          <w:color w:val="000000"/>
          <w:sz w:val="48"/>
        </w:rPr>
        <w:t>法人授权委托书</w:t>
      </w:r>
    </w:p>
    <w:p>
      <w:pPr>
        <w:snapToGrid/>
        <w:spacing w:before="0" w:after="0" w:line="400" w:lineRule="exact"/>
        <w:jc w:val="center"/>
      </w:pPr>
      <w:r>
        <w:rPr>
          <w:rFonts w:ascii="'Times New Roman'" w:hAnsi="'Times New Roman'" w:eastAsia="'Times New Roman'" w:cs="'Times New Roman'"/>
          <w:color w:val="000000"/>
        </w:rPr>
        <w:t> </w:t>
      </w:r>
    </w:p>
    <w:p>
      <w:pPr>
        <w:snapToGrid/>
        <w:spacing w:before="0" w:after="0" w:line="400" w:lineRule="exact"/>
        <w:jc w:val="center"/>
      </w:pPr>
      <w:r>
        <w:rPr>
          <w:rFonts w:ascii="'Times New Roman'" w:hAnsi="'Times New Roman'" w:eastAsia="'Times New Roman'" w:cs="'Times New Roman'"/>
          <w:color w:val="000000"/>
        </w:rPr>
        <w:t> </w:t>
      </w:r>
    </w:p>
    <w:p>
      <w:pPr>
        <w:spacing w:before="0" w:after="0" w:line="600" w:lineRule="exact"/>
        <w:jc w:val="both"/>
        <w:rPr>
          <w:rFonts w:ascii="宋体" w:hAnsi="宋体" w:eastAsia="宋体" w:cs="宋体"/>
          <w:color w:val="000000"/>
          <w:sz w:val="24"/>
        </w:rPr>
      </w:pPr>
      <w:r>
        <w:rPr>
          <w:rFonts w:ascii="宋体" w:hAnsi="宋体" w:eastAsia="宋体" w:cs="宋体"/>
          <w:color w:val="000000"/>
          <w:sz w:val="24"/>
        </w:rPr>
        <w:t xml:space="preserve">安徽新集矿山建设工程有限公司: </w:t>
      </w:r>
    </w:p>
    <w:p>
      <w:pPr>
        <w:spacing w:before="0" w:after="0" w:line="600" w:lineRule="exact"/>
        <w:ind w:firstLine="480" w:firstLineChars="200"/>
        <w:jc w:val="both"/>
      </w:pPr>
      <w:r>
        <w:rPr>
          <w:rFonts w:ascii="宋体" w:hAnsi="宋体" w:eastAsia="宋体" w:cs="宋体"/>
          <w:color w:val="000000"/>
          <w:sz w:val="24"/>
        </w:rPr>
        <w:t>本人</w:t>
      </w:r>
      <w:r>
        <w:rPr>
          <w:rFonts w:ascii="宋体" w:hAnsi="宋体" w:eastAsia="宋体" w:cs="宋体"/>
          <w:color w:val="000000"/>
          <w:sz w:val="24"/>
          <w:u w:val="single"/>
        </w:rPr>
        <w:t>（姓名）</w:t>
      </w:r>
      <w:r>
        <w:rPr>
          <w:rFonts w:ascii="宋体" w:hAnsi="宋体" w:eastAsia="宋体" w:cs="宋体"/>
          <w:color w:val="000000"/>
          <w:sz w:val="24"/>
        </w:rPr>
        <w:t>系公司法定代表人。现授权我公司</w:t>
      </w:r>
      <w:r>
        <w:rPr>
          <w:rFonts w:ascii="宋体" w:hAnsi="宋体" w:eastAsia="宋体" w:cs="宋体"/>
          <w:color w:val="000000"/>
          <w:sz w:val="24"/>
          <w:u w:val="single"/>
        </w:rPr>
        <w:t>（姓名）（身份证号：）女士/先生，</w:t>
      </w:r>
      <w:r>
        <w:rPr>
          <w:rFonts w:ascii="宋体" w:hAnsi="宋体" w:eastAsia="宋体" w:cs="宋体"/>
          <w:color w:val="000000"/>
          <w:sz w:val="24"/>
        </w:rPr>
        <w:t>作为我公司合法代理人，以我公司名义并代表我公司全权处理淮南市能源数据中心及数字经济万创园项目施工总承包一标段劳务分包的委托事宜。其在授权范围和有效期内，处理与之相关的一切事务所实施的行为均具有法律效力，我公司全部予以确认。</w:t>
      </w:r>
    </w:p>
    <w:p>
      <w:pPr>
        <w:spacing w:before="0" w:after="0" w:line="600" w:lineRule="exact"/>
        <w:ind w:firstLine="480" w:firstLineChars="200"/>
        <w:jc w:val="both"/>
      </w:pPr>
      <w:r>
        <w:rPr>
          <w:rFonts w:ascii="宋体" w:hAnsi="宋体" w:eastAsia="宋体" w:cs="宋体"/>
          <w:color w:val="000000"/>
          <w:sz w:val="24"/>
        </w:rPr>
        <w:t>本授权有效期限： 年月日至年月日止。</w:t>
      </w:r>
    </w:p>
    <w:p>
      <w:pPr>
        <w:spacing w:before="0" w:after="0" w:line="600" w:lineRule="exact"/>
        <w:ind w:firstLine="420"/>
        <w:jc w:val="both"/>
      </w:pPr>
      <w:r>
        <w:rPr>
          <w:rFonts w:ascii="宋体" w:hAnsi="宋体" w:eastAsia="宋体" w:cs="宋体"/>
          <w:color w:val="000000"/>
          <w:sz w:val="24"/>
        </w:rPr>
        <w:t> </w:t>
      </w:r>
    </w:p>
    <w:p>
      <w:pPr>
        <w:snapToGrid/>
        <w:spacing w:before="0" w:after="0" w:line="600" w:lineRule="exact"/>
        <w:jc w:val="both"/>
      </w:pPr>
      <w:r>
        <w:rPr>
          <w:rFonts w:ascii="宋体" w:hAnsi="宋体" w:eastAsia="宋体" w:cs="宋体"/>
          <w:color w:val="000000"/>
          <w:sz w:val="24"/>
        </w:rPr>
        <w:t>委托单位名称：（盖章）</w:t>
      </w:r>
    </w:p>
    <w:p>
      <w:pPr>
        <w:snapToGrid/>
        <w:spacing w:before="0" w:after="0" w:line="400" w:lineRule="exact"/>
        <w:ind w:firstLine="2400" w:firstLineChars="1000"/>
        <w:jc w:val="both"/>
      </w:pPr>
      <w:r>
        <w:rPr>
          <w:rFonts w:ascii="'Times New Roman'" w:hAnsi="'Times New Roman'" w:eastAsia="'Times New Roman'" w:cs="'Times New Roman'"/>
          <w:color w:val="000000"/>
          <w:sz w:val="24"/>
        </w:rPr>
        <w:t> </w:t>
      </w:r>
    </w:p>
    <w:p>
      <w:pPr>
        <w:snapToGrid/>
        <w:spacing w:before="0" w:after="0" w:line="400" w:lineRule="exact"/>
        <w:jc w:val="both"/>
      </w:pPr>
      <w:r>
        <w:rPr>
          <w:rFonts w:ascii="宋体" w:hAnsi="宋体" w:eastAsia="宋体" w:cs="宋体"/>
          <w:color w:val="000000"/>
          <w:sz w:val="24"/>
        </w:rPr>
        <w:t>法定代表人姓名：（签名或盖章）</w:t>
      </w:r>
    </w:p>
    <w:p>
      <w:pPr>
        <w:snapToGrid/>
        <w:spacing w:before="0" w:after="0" w:line="400" w:lineRule="exact"/>
        <w:ind w:firstLine="3360"/>
        <w:jc w:val="center"/>
      </w:pPr>
      <w:r>
        <w:rPr>
          <w:rFonts w:ascii="宋体" w:hAnsi="宋体" w:eastAsia="宋体" w:cs="宋体"/>
          <w:color w:val="000000"/>
          <w:sz w:val="24"/>
        </w:rPr>
        <w:t>年月日</w:t>
      </w:r>
    </w:p>
    <w:p>
      <w:pPr>
        <w:snapToGrid/>
        <w:spacing w:before="0" w:after="0" w:line="400" w:lineRule="exact"/>
        <w:ind w:firstLine="3360"/>
        <w:jc w:val="center"/>
      </w:pPr>
      <w:r>
        <w:rPr>
          <w:rFonts w:ascii="'Times New Roman'" w:hAnsi="'Times New Roman'" w:eastAsia="'Times New Roman'" w:cs="'Times New Roman'"/>
          <w:color w:val="000000"/>
          <w:sz w:val="24"/>
        </w:rPr>
        <w:t> </w:t>
      </w:r>
    </w:p>
    <w:p>
      <w:pPr>
        <w:spacing w:before="0" w:after="0" w:line="600" w:lineRule="exact"/>
        <w:ind w:firstLine="480" w:firstLineChars="200"/>
        <w:jc w:val="both"/>
        <w:rPr>
          <w:rFonts w:ascii="宋体" w:hAnsi="宋体" w:eastAsia="宋体" w:cs="宋体"/>
          <w:color w:val="000000"/>
          <w:sz w:val="24"/>
        </w:rPr>
      </w:pPr>
      <w:r>
        <w:rPr>
          <w:rFonts w:ascii="宋体" w:hAnsi="宋体" w:eastAsia="宋体" w:cs="宋体"/>
          <w:color w:val="000000"/>
          <w:sz w:val="24"/>
        </w:rPr>
        <w:t>注：1. 本委托书为法人授权委托被委托人在本工程专用，无委转委托权；</w:t>
      </w:r>
    </w:p>
    <w:p>
      <w:pPr>
        <w:spacing w:before="0" w:after="0" w:line="600" w:lineRule="exact"/>
        <w:ind w:firstLine="480" w:firstLineChars="200"/>
        <w:jc w:val="both"/>
        <w:rPr>
          <w:rFonts w:ascii="宋体" w:hAnsi="宋体" w:eastAsia="宋体" w:cs="宋体"/>
          <w:color w:val="000000"/>
          <w:sz w:val="24"/>
        </w:rPr>
      </w:pPr>
      <w:r>
        <w:rPr>
          <w:rFonts w:ascii="宋体" w:hAnsi="宋体" w:eastAsia="宋体" w:cs="宋体"/>
          <w:color w:val="000000"/>
          <w:sz w:val="24"/>
        </w:rPr>
        <w:t>2. 授权委托书须由授权委托单位法定代表人签名或盖章，并说明委托事项和权限方为有效。</w:t>
      </w:r>
    </w:p>
    <w:p>
      <w:pPr>
        <w:spacing w:before="0" w:after="0" w:line="600" w:lineRule="exact"/>
        <w:ind w:firstLine="480" w:firstLineChars="200"/>
        <w:jc w:val="both"/>
        <w:rPr>
          <w:rFonts w:ascii="宋体" w:hAnsi="宋体" w:eastAsia="宋体" w:cs="宋体"/>
          <w:color w:val="000000"/>
          <w:sz w:val="24"/>
        </w:rPr>
      </w:pPr>
      <w:r>
        <w:rPr>
          <w:rFonts w:ascii="宋体" w:hAnsi="宋体" w:eastAsia="宋体" w:cs="宋体"/>
          <w:color w:val="000000"/>
          <w:sz w:val="24"/>
        </w:rPr>
        <w:t>3. 法定代表人或被委托人须提供合法有效的身份证明证件；</w:t>
      </w:r>
    </w:p>
    <w:p>
      <w:pPr>
        <w:spacing w:before="0" w:after="0" w:line="600" w:lineRule="exact"/>
        <w:ind w:firstLine="480" w:firstLineChars="200"/>
        <w:jc w:val="both"/>
        <w:rPr>
          <w:rFonts w:ascii="宋体" w:hAnsi="宋体" w:eastAsia="宋体" w:cs="宋体"/>
          <w:color w:val="000000"/>
          <w:sz w:val="24"/>
        </w:rPr>
      </w:pPr>
      <w:r>
        <w:rPr>
          <w:rFonts w:ascii="宋体" w:hAnsi="宋体" w:eastAsia="宋体" w:cs="宋体"/>
          <w:color w:val="000000"/>
          <w:sz w:val="24"/>
        </w:rPr>
        <w:t> </w:t>
      </w:r>
    </w:p>
    <w:p>
      <w:pPr>
        <w:spacing w:before="0" w:after="0" w:line="400" w:lineRule="exact"/>
        <w:jc w:val="both"/>
      </w:pPr>
      <w:r>
        <w:rPr>
          <w:rFonts w:ascii="宋体" w:hAnsi="宋体" w:eastAsia="宋体" w:cs="宋体"/>
          <w:color w:val="000000"/>
          <w:sz w:val="20"/>
        </w:rPr>
        <w:t> </w:t>
      </w:r>
    </w:p>
    <w:p>
      <w:pPr>
        <w:spacing w:before="0" w:after="0" w:line="400" w:lineRule="exact"/>
        <w:jc w:val="both"/>
      </w:pPr>
      <w:r>
        <w:rPr>
          <w:rFonts w:ascii="宋体" w:hAnsi="宋体" w:eastAsia="宋体" w:cs="宋体"/>
          <w:color w:val="000000"/>
          <w:sz w:val="20"/>
        </w:rPr>
        <w:t> </w:t>
      </w:r>
    </w:p>
    <w:p>
      <w:pPr>
        <w:spacing w:before="0" w:after="0" w:line="400" w:lineRule="exact"/>
        <w:jc w:val="both"/>
      </w:pPr>
      <w:r>
        <w:rPr>
          <w:rFonts w:ascii="宋体" w:hAnsi="宋体" w:eastAsia="宋体" w:cs="宋体"/>
          <w:color w:val="000000"/>
          <w:sz w:val="20"/>
        </w:rPr>
        <w:t> </w:t>
      </w:r>
    </w:p>
    <w:p>
      <w:pPr>
        <w:spacing w:before="0" w:after="0" w:line="400" w:lineRule="exact"/>
        <w:jc w:val="both"/>
      </w:pPr>
      <w:r>
        <w:rPr>
          <w:rFonts w:ascii="宋体" w:hAnsi="宋体" w:eastAsia="宋体" w:cs="宋体"/>
          <w:color w:val="000000"/>
          <w:sz w:val="20"/>
        </w:rPr>
        <w:t> </w:t>
      </w:r>
    </w:p>
    <w:p>
      <w:pPr>
        <w:spacing w:before="0" w:after="0" w:line="400" w:lineRule="exact"/>
        <w:jc w:val="both"/>
      </w:pPr>
      <w:r>
        <w:rPr>
          <w:rFonts w:ascii="宋体" w:hAnsi="宋体" w:eastAsia="宋体" w:cs="宋体"/>
          <w:color w:val="000000"/>
          <w:sz w:val="20"/>
        </w:rPr>
        <w:t> </w:t>
      </w:r>
    </w:p>
    <w:p>
      <w:pPr>
        <w:spacing w:before="0" w:after="0" w:line="400" w:lineRule="exact"/>
        <w:jc w:val="both"/>
      </w:pPr>
      <w:r>
        <w:rPr>
          <w:rFonts w:ascii="宋体" w:hAnsi="宋体" w:eastAsia="宋体" w:cs="宋体"/>
          <w:color w:val="000000"/>
          <w:sz w:val="20"/>
        </w:rPr>
        <w:t> </w:t>
      </w:r>
    </w:p>
    <w:p>
      <w:pPr>
        <w:spacing w:before="0" w:after="0" w:line="400" w:lineRule="exact"/>
        <w:jc w:val="both"/>
      </w:pPr>
      <w:r>
        <w:rPr>
          <w:rFonts w:ascii="宋体" w:hAnsi="宋体" w:eastAsia="宋体" w:cs="宋体"/>
          <w:color w:val="000000"/>
          <w:sz w:val="20"/>
        </w:rPr>
        <w:t>  </w:t>
      </w:r>
    </w:p>
    <w:p>
      <w:pPr>
        <w:spacing w:before="0" w:after="0" w:line="400" w:lineRule="exact"/>
        <w:jc w:val="both"/>
      </w:pPr>
      <w:r>
        <w:rPr>
          <w:rFonts w:ascii="宋体" w:hAnsi="宋体" w:eastAsia="宋体" w:cs="宋体"/>
          <w:color w:val="000000"/>
          <w:sz w:val="20"/>
        </w:rPr>
        <w:t>附件二</w:t>
      </w:r>
    </w:p>
    <w:p>
      <w:pPr>
        <w:snapToGrid/>
        <w:spacing w:before="0" w:after="0" w:line="640" w:lineRule="exact"/>
        <w:jc w:val="center"/>
      </w:pPr>
      <w:r>
        <w:rPr>
          <w:rFonts w:ascii="宋体" w:hAnsi="宋体" w:eastAsia="宋体" w:cs="宋体"/>
          <w:b/>
          <w:color w:val="000000"/>
          <w:sz w:val="48"/>
        </w:rPr>
        <w:t>承诺书</w:t>
      </w:r>
    </w:p>
    <w:p>
      <w:pPr>
        <w:spacing w:before="0" w:after="0" w:line="600" w:lineRule="exact"/>
        <w:ind w:firstLine="420"/>
        <w:jc w:val="both"/>
      </w:pPr>
      <w:r>
        <w:rPr>
          <w:rFonts w:ascii="宋体" w:hAnsi="宋体" w:eastAsia="宋体" w:cs="宋体"/>
          <w:color w:val="000000"/>
        </w:rPr>
        <w:t> </w:t>
      </w:r>
    </w:p>
    <w:p>
      <w:pPr>
        <w:spacing w:before="0" w:after="0" w:line="600" w:lineRule="exact"/>
        <w:ind w:firstLine="420"/>
        <w:jc w:val="both"/>
      </w:pPr>
      <w:r>
        <w:rPr>
          <w:rFonts w:ascii="宋体" w:hAnsi="宋体" w:eastAsia="宋体" w:cs="宋体"/>
          <w:color w:val="000000"/>
        </w:rPr>
        <w:t>致：公司：</w:t>
      </w:r>
    </w:p>
    <w:p>
      <w:pPr>
        <w:spacing w:before="0" w:after="0" w:line="600" w:lineRule="exact"/>
        <w:ind w:firstLine="420"/>
        <w:jc w:val="both"/>
      </w:pPr>
      <w:r>
        <w:rPr>
          <w:rFonts w:ascii="宋体" w:hAnsi="宋体" w:eastAsia="宋体" w:cs="宋体"/>
          <w:color w:val="000000"/>
        </w:rPr>
        <w:t>感谢贵公司邀请我公司参加工程的报价，如我公司的报价有幸被贵公司采纳，为确保工程保质、保量按期完成施工任务，达到双方合作愉快的目的，我司特作如下承诺：</w:t>
      </w:r>
    </w:p>
    <w:p>
      <w:pPr>
        <w:spacing w:before="0" w:after="0" w:line="600" w:lineRule="exact"/>
        <w:ind w:firstLine="420"/>
        <w:jc w:val="both"/>
      </w:pPr>
      <w:r>
        <w:rPr>
          <w:rFonts w:ascii="宋体" w:hAnsi="宋体" w:eastAsia="宋体" w:cs="宋体"/>
          <w:color w:val="000000"/>
        </w:rPr>
        <w:t>一、人员配备：</w:t>
      </w:r>
    </w:p>
    <w:p>
      <w:pPr>
        <w:spacing w:before="0" w:after="0" w:line="600" w:lineRule="exact"/>
        <w:ind w:firstLine="420"/>
        <w:jc w:val="both"/>
      </w:pPr>
      <w:r>
        <w:rPr>
          <w:rFonts w:ascii="宋体" w:hAnsi="宋体" w:eastAsia="宋体" w:cs="宋体"/>
          <w:color w:val="000000"/>
        </w:rPr>
        <w:t>二、安全保证：</w:t>
      </w:r>
      <w:r>
        <w:rPr>
          <w:rFonts w:hint="eastAsia" w:ascii="宋体" w:hAnsi="宋体" w:eastAsia="宋体" w:cs="宋体"/>
          <w:color w:val="000000"/>
        </w:rPr>
        <w:t>(承诺中标后购买建筑类安全生产责任险，其中死亡伤残赔付标准不低于80万元，意外医疗不低于赔付不低于8万元标准)</w:t>
      </w:r>
    </w:p>
    <w:p>
      <w:pPr>
        <w:spacing w:before="0" w:after="0" w:line="600" w:lineRule="exact"/>
        <w:ind w:firstLine="420"/>
        <w:jc w:val="both"/>
      </w:pPr>
      <w:r>
        <w:rPr>
          <w:rFonts w:ascii="宋体" w:hAnsi="宋体" w:eastAsia="宋体" w:cs="宋体"/>
          <w:color w:val="000000"/>
        </w:rPr>
        <w:t>三、质量保证：</w:t>
      </w:r>
    </w:p>
    <w:p>
      <w:pPr>
        <w:spacing w:before="0" w:after="0" w:line="600" w:lineRule="exact"/>
        <w:ind w:firstLine="420"/>
        <w:jc w:val="both"/>
      </w:pPr>
      <w:r>
        <w:rPr>
          <w:rFonts w:ascii="宋体" w:hAnsi="宋体" w:eastAsia="宋体" w:cs="宋体"/>
          <w:color w:val="000000"/>
        </w:rPr>
        <w:t>四、工期保证：</w:t>
      </w:r>
    </w:p>
    <w:p>
      <w:pPr>
        <w:spacing w:before="0" w:after="0" w:line="600" w:lineRule="exact"/>
        <w:ind w:firstLine="420"/>
        <w:jc w:val="both"/>
      </w:pPr>
      <w:r>
        <w:rPr>
          <w:rFonts w:ascii="宋体" w:hAnsi="宋体" w:eastAsia="宋体" w:cs="宋体"/>
          <w:color w:val="000000"/>
        </w:rPr>
        <w:t>五、文明生产：</w:t>
      </w:r>
    </w:p>
    <w:p>
      <w:pPr>
        <w:spacing w:before="0" w:after="0" w:line="600" w:lineRule="exact"/>
        <w:ind w:firstLine="420"/>
        <w:jc w:val="both"/>
      </w:pPr>
      <w:r>
        <w:rPr>
          <w:rFonts w:ascii="宋体" w:hAnsi="宋体" w:eastAsia="宋体" w:cs="宋体"/>
          <w:color w:val="000000"/>
        </w:rPr>
        <w:t>六、生活区管理：</w:t>
      </w:r>
    </w:p>
    <w:p>
      <w:pPr>
        <w:spacing w:before="0" w:after="0" w:line="600" w:lineRule="exact"/>
        <w:ind w:firstLine="420"/>
        <w:jc w:val="both"/>
      </w:pPr>
      <w:r>
        <w:rPr>
          <w:rFonts w:ascii="宋体" w:hAnsi="宋体" w:eastAsia="宋体" w:cs="宋体"/>
          <w:color w:val="000000"/>
        </w:rPr>
        <w:t>服从贵公司现场管理和指挥，保证按照合同约定以及招标文件中要求完成施工任务。为表示我方的友好合作诚意，我方愿意…………（选填）</w:t>
      </w:r>
    </w:p>
    <w:p>
      <w:pPr>
        <w:spacing w:before="0" w:after="0" w:line="600" w:lineRule="exact"/>
        <w:ind w:firstLine="420"/>
        <w:jc w:val="both"/>
      </w:pPr>
      <w:r>
        <w:rPr>
          <w:rFonts w:ascii="宋体" w:hAnsi="宋体" w:eastAsia="宋体" w:cs="宋体"/>
          <w:color w:val="000000"/>
        </w:rPr>
        <w:t> </w:t>
      </w:r>
    </w:p>
    <w:p>
      <w:pPr>
        <w:spacing w:before="0" w:after="0" w:line="600" w:lineRule="exact"/>
        <w:ind w:firstLine="420"/>
        <w:jc w:val="both"/>
      </w:pPr>
      <w:r>
        <w:rPr>
          <w:rFonts w:ascii="宋体" w:hAnsi="宋体" w:eastAsia="宋体" w:cs="宋体"/>
          <w:color w:val="000000"/>
        </w:rPr>
        <w:t>单位名称：（公章）</w:t>
      </w:r>
    </w:p>
    <w:p>
      <w:pPr>
        <w:spacing w:before="0" w:after="0" w:line="600" w:lineRule="exact"/>
        <w:ind w:firstLine="420"/>
        <w:jc w:val="both"/>
      </w:pPr>
      <w:r>
        <w:rPr>
          <w:rFonts w:ascii="宋体" w:hAnsi="宋体" w:eastAsia="宋体" w:cs="宋体"/>
          <w:color w:val="000000"/>
        </w:rPr>
        <w:t> </w:t>
      </w:r>
    </w:p>
    <w:p>
      <w:pPr>
        <w:spacing w:before="0" w:after="0" w:line="600" w:lineRule="exact"/>
        <w:ind w:firstLine="420"/>
        <w:jc w:val="both"/>
      </w:pPr>
      <w:r>
        <w:rPr>
          <w:rFonts w:ascii="宋体" w:hAnsi="宋体" w:eastAsia="宋体" w:cs="宋体"/>
          <w:color w:val="000000"/>
        </w:rPr>
        <w:t>法定代表人：（签字或盖章）</w:t>
      </w:r>
    </w:p>
    <w:p>
      <w:pPr>
        <w:spacing w:before="0" w:after="0" w:line="600" w:lineRule="exact"/>
        <w:ind w:firstLine="420"/>
        <w:jc w:val="both"/>
      </w:pPr>
      <w:r>
        <w:rPr>
          <w:rFonts w:ascii="宋体" w:hAnsi="宋体" w:eastAsia="宋体" w:cs="宋体"/>
          <w:color w:val="000000"/>
        </w:rPr>
        <w:t> </w:t>
      </w:r>
    </w:p>
    <w:p>
      <w:pPr>
        <w:spacing w:before="0" w:after="0" w:line="600" w:lineRule="exact"/>
        <w:ind w:firstLine="420"/>
        <w:jc w:val="both"/>
      </w:pPr>
      <w:r>
        <w:rPr>
          <w:rFonts w:ascii="宋体" w:hAnsi="宋体" w:eastAsia="宋体" w:cs="宋体"/>
          <w:color w:val="000000"/>
        </w:rPr>
        <w:t>项目负责人：（签字）</w:t>
      </w:r>
    </w:p>
    <w:p>
      <w:pPr>
        <w:spacing w:before="0" w:after="0" w:line="600" w:lineRule="exact"/>
        <w:ind w:firstLine="420"/>
        <w:jc w:val="both"/>
      </w:pPr>
      <w:r>
        <w:rPr>
          <w:rFonts w:ascii="宋体" w:hAnsi="宋体" w:eastAsia="宋体" w:cs="宋体"/>
          <w:color w:val="000000"/>
        </w:rPr>
        <w:t> </w:t>
      </w:r>
    </w:p>
    <w:p>
      <w:pPr>
        <w:spacing w:before="0" w:after="0" w:line="600" w:lineRule="exact"/>
        <w:ind w:firstLine="5691" w:firstLineChars="2587"/>
        <w:jc w:val="both"/>
      </w:pPr>
      <w:r>
        <w:rPr>
          <w:rFonts w:ascii="宋体" w:hAnsi="宋体" w:eastAsia="宋体" w:cs="宋体"/>
          <w:color w:val="000000"/>
        </w:rPr>
        <w:t>年月日</w:t>
      </w:r>
    </w:p>
    <w:p>
      <w:pPr>
        <w:snapToGrid/>
        <w:spacing w:line="240" w:lineRule="auto"/>
      </w:pPr>
    </w:p>
    <w:p>
      <w:pPr>
        <w:snapToGrid/>
        <w:spacing w:line="240" w:lineRule="auto"/>
      </w:pPr>
    </w:p>
    <w:p>
      <w:pPr>
        <w:snapToGrid/>
        <w:spacing w:before="0" w:after="0" w:line="400" w:lineRule="exact"/>
        <w:jc w:val="both"/>
      </w:pPr>
      <w:r>
        <w:rPr>
          <w:rFonts w:ascii="宋体" w:hAnsi="宋体" w:eastAsia="宋体" w:cs="宋体"/>
          <w:color w:val="000000"/>
          <w:sz w:val="20"/>
        </w:rPr>
        <w:t>附件三</w:t>
      </w:r>
    </w:p>
    <w:p>
      <w:pPr>
        <w:snapToGrid/>
        <w:spacing w:before="0" w:after="0" w:line="400" w:lineRule="exact"/>
        <w:jc w:val="center"/>
      </w:pPr>
      <w:r>
        <w:rPr>
          <w:rFonts w:ascii="'Times New Roman'" w:hAnsi="'Times New Roman'" w:eastAsia="'Times New Roman'" w:cs="'Times New Roman'"/>
          <w:color w:val="000000"/>
          <w:spacing w:val="20"/>
          <w:sz w:val="44"/>
        </w:rPr>
        <w:t> </w:t>
      </w:r>
    </w:p>
    <w:p>
      <w:pPr>
        <w:snapToGrid/>
        <w:spacing w:before="0" w:after="0" w:line="400" w:lineRule="exact"/>
        <w:jc w:val="center"/>
      </w:pPr>
      <w:r>
        <w:rPr>
          <w:rFonts w:ascii="'Times New Roman'" w:hAnsi="'Times New Roman'" w:eastAsia="'Times New Roman'" w:cs="'Times New Roman'"/>
          <w:color w:val="000000"/>
          <w:spacing w:val="20"/>
          <w:sz w:val="44"/>
        </w:rPr>
        <w:t> </w:t>
      </w:r>
    </w:p>
    <w:p>
      <w:pPr>
        <w:snapToGrid/>
        <w:spacing w:before="0" w:after="0" w:line="360" w:lineRule="exact"/>
        <w:jc w:val="center"/>
      </w:pPr>
      <w:r>
        <w:rPr>
          <w:rFonts w:ascii="宋体" w:hAnsi="宋体" w:eastAsia="宋体" w:cs="宋体"/>
          <w:b/>
          <w:color w:val="000000"/>
          <w:sz w:val="36"/>
        </w:rPr>
        <w:t>劳务项目报价表</w:t>
      </w:r>
    </w:p>
    <w:p>
      <w:pPr>
        <w:snapToGrid/>
        <w:spacing w:before="0" w:after="0" w:line="360" w:lineRule="exact"/>
        <w:jc w:val="center"/>
      </w:pPr>
      <w:r>
        <w:rPr>
          <w:rFonts w:ascii="宋体" w:hAnsi="宋体" w:eastAsia="宋体" w:cs="宋体"/>
          <w:b/>
          <w:color w:val="000000"/>
          <w:sz w:val="36"/>
        </w:rPr>
        <w:t>（封面）</w:t>
      </w:r>
    </w:p>
    <w:p>
      <w:pPr>
        <w:snapToGrid/>
        <w:spacing w:before="0" w:after="0" w:line="400" w:lineRule="exact"/>
        <w:jc w:val="both"/>
        <w:rPr>
          <w:rFonts w:ascii="'Times New Roman'" w:hAnsi="'Times New Roman'" w:eastAsia="'Times New Roman'" w:cs="'Times New Roman'"/>
          <w:b/>
          <w:color w:val="000000"/>
          <w:sz w:val="32"/>
        </w:rPr>
      </w:pPr>
      <w:r>
        <w:rPr>
          <w:rFonts w:ascii="'Times New Roman'" w:hAnsi="'Times New Roman'" w:eastAsia="'Times New Roman'" w:cs="'Times New Roman'"/>
          <w:b/>
          <w:color w:val="000000"/>
          <w:sz w:val="32"/>
        </w:rPr>
        <w:t> </w:t>
      </w:r>
    </w:p>
    <w:p>
      <w:pPr>
        <w:snapToGrid/>
        <w:spacing w:before="0" w:after="0" w:line="400" w:lineRule="exact"/>
        <w:jc w:val="both"/>
        <w:rPr>
          <w:rFonts w:ascii="'Times New Roman'" w:hAnsi="'Times New Roman'" w:eastAsia="'Times New Roman'" w:cs="'Times New Roman'"/>
          <w:b/>
          <w:color w:val="000000"/>
          <w:sz w:val="32"/>
        </w:rPr>
      </w:pPr>
    </w:p>
    <w:p>
      <w:pPr>
        <w:snapToGrid/>
        <w:spacing w:before="0" w:after="0" w:line="400" w:lineRule="exact"/>
        <w:jc w:val="center"/>
        <w:rPr>
          <w:rFonts w:ascii="宋体" w:hAnsi="宋体" w:eastAsia="宋体" w:cs="宋体"/>
          <w:color w:val="000000"/>
          <w:sz w:val="28"/>
        </w:rPr>
      </w:pPr>
      <w:r>
        <w:rPr>
          <w:rFonts w:ascii="宋体" w:hAnsi="宋体" w:eastAsia="宋体" w:cs="宋体"/>
          <w:color w:val="000000"/>
          <w:sz w:val="28"/>
        </w:rPr>
        <w:t>工程名称：淮南市能源数据中心及数字经济万创园项目施工</w:t>
      </w:r>
    </w:p>
    <w:p>
      <w:pPr>
        <w:snapToGrid/>
        <w:spacing w:before="0" w:after="0" w:line="400" w:lineRule="exact"/>
        <w:jc w:val="center"/>
      </w:pPr>
      <w:r>
        <w:rPr>
          <w:rFonts w:ascii="宋体" w:hAnsi="宋体" w:eastAsia="宋体" w:cs="宋体"/>
          <w:color w:val="000000"/>
          <w:sz w:val="28"/>
        </w:rPr>
        <w:t>总承包一标段劳务分包</w:t>
      </w:r>
    </w:p>
    <w:p>
      <w:pPr>
        <w:snapToGrid/>
        <w:spacing w:before="0" w:after="0" w:line="400" w:lineRule="exact"/>
        <w:jc w:val="center"/>
        <w:rPr>
          <w:rFonts w:ascii="'Times New Roman'" w:hAnsi="'Times New Roman'" w:eastAsia="'Times New Roman'" w:cs="'Times New Roman'"/>
          <w:color w:val="000000"/>
          <w:sz w:val="28"/>
        </w:rPr>
      </w:pPr>
    </w:p>
    <w:p>
      <w:pPr>
        <w:snapToGrid/>
        <w:spacing w:before="0" w:after="0" w:line="400" w:lineRule="exact"/>
        <w:jc w:val="center"/>
      </w:pPr>
      <w:r>
        <w:rPr>
          <w:rFonts w:ascii="'Times New Roman'" w:hAnsi="'Times New Roman'" w:eastAsia="'Times New Roman'" w:cs="'Times New Roman'"/>
          <w:color w:val="000000"/>
          <w:sz w:val="28"/>
        </w:rPr>
        <w:t> </w:t>
      </w:r>
    </w:p>
    <w:p>
      <w:pPr>
        <w:snapToGrid/>
        <w:spacing w:before="0" w:after="0" w:line="400" w:lineRule="exact"/>
        <w:jc w:val="center"/>
      </w:pPr>
      <w:r>
        <w:rPr>
          <w:rFonts w:ascii="宋体" w:hAnsi="宋体" w:eastAsia="宋体" w:cs="宋体"/>
          <w:color w:val="000000"/>
          <w:sz w:val="28"/>
        </w:rPr>
        <w:t>投标人</w:t>
      </w:r>
      <w:r>
        <w:rPr>
          <w:rFonts w:ascii="宋体" w:hAnsi="宋体" w:eastAsia="宋体" w:cs="宋体"/>
          <w:color w:val="000000"/>
          <w:sz w:val="28"/>
          <w:u w:val="single"/>
        </w:rPr>
        <w:t>（盖章）</w:t>
      </w:r>
    </w:p>
    <w:p>
      <w:pPr>
        <w:snapToGrid/>
        <w:spacing w:before="0" w:after="0" w:line="400" w:lineRule="exact"/>
        <w:jc w:val="both"/>
        <w:rPr>
          <w:rFonts w:ascii="'Times New Roman'" w:hAnsi="'Times New Roman'" w:eastAsia="'Times New Roman'" w:cs="'Times New Roman'"/>
          <w:color w:val="000000"/>
          <w:sz w:val="28"/>
        </w:rPr>
      </w:pPr>
    </w:p>
    <w:p>
      <w:pPr>
        <w:snapToGrid/>
        <w:spacing w:before="0" w:after="0" w:line="400" w:lineRule="exact"/>
        <w:jc w:val="both"/>
      </w:pPr>
      <w:r>
        <w:rPr>
          <w:rFonts w:ascii="'Times New Roman'" w:hAnsi="'Times New Roman'" w:eastAsia="'Times New Roman'" w:cs="'Times New Roman'"/>
          <w:color w:val="000000"/>
          <w:sz w:val="28"/>
        </w:rPr>
        <w:t> </w:t>
      </w:r>
    </w:p>
    <w:p>
      <w:pPr>
        <w:snapToGrid/>
        <w:spacing w:before="0" w:after="0" w:line="400" w:lineRule="exact"/>
        <w:jc w:val="center"/>
      </w:pPr>
      <w:r>
        <w:rPr>
          <w:rFonts w:ascii="宋体" w:hAnsi="宋体" w:eastAsia="宋体" w:cs="宋体"/>
          <w:color w:val="000000"/>
          <w:sz w:val="28"/>
        </w:rPr>
        <w:t>企业法定代表人</w:t>
      </w:r>
      <w:r>
        <w:rPr>
          <w:rFonts w:ascii="宋体" w:hAnsi="宋体" w:eastAsia="宋体" w:cs="宋体"/>
          <w:color w:val="000000"/>
          <w:sz w:val="28"/>
          <w:u w:val="single"/>
        </w:rPr>
        <w:t>（盖章）</w:t>
      </w:r>
    </w:p>
    <w:p>
      <w:pPr>
        <w:snapToGrid/>
        <w:spacing w:before="0" w:after="0" w:line="400" w:lineRule="exact"/>
        <w:ind w:firstLine="1260"/>
        <w:jc w:val="center"/>
        <w:rPr>
          <w:rFonts w:ascii="'Times New Roman'" w:hAnsi="'Times New Roman'" w:eastAsia="'Times New Roman'" w:cs="'Times New Roman'"/>
          <w:color w:val="000000"/>
          <w:sz w:val="28"/>
        </w:rPr>
      </w:pPr>
    </w:p>
    <w:p>
      <w:pPr>
        <w:snapToGrid/>
        <w:spacing w:before="0" w:after="0" w:line="400" w:lineRule="exact"/>
        <w:ind w:firstLine="1260"/>
        <w:jc w:val="center"/>
        <w:rPr>
          <w:rFonts w:ascii="'Times New Roman'" w:hAnsi="'Times New Roman'" w:eastAsia="'Times New Roman'" w:cs="'Times New Roman'"/>
          <w:color w:val="000000"/>
          <w:sz w:val="28"/>
        </w:rPr>
      </w:pPr>
      <w:r>
        <w:rPr>
          <w:rFonts w:ascii="'Times New Roman'" w:hAnsi="'Times New Roman'" w:eastAsia="'Times New Roman'" w:cs="'Times New Roman'"/>
          <w:color w:val="000000"/>
          <w:sz w:val="28"/>
        </w:rPr>
        <w:t> </w:t>
      </w:r>
    </w:p>
    <w:p>
      <w:pPr>
        <w:snapToGrid/>
        <w:spacing w:before="0" w:after="0" w:line="400" w:lineRule="exact"/>
        <w:ind w:firstLine="1260"/>
        <w:jc w:val="center"/>
      </w:pPr>
      <w:r>
        <w:rPr>
          <w:rFonts w:ascii="宋体" w:hAnsi="宋体" w:eastAsia="宋体" w:cs="宋体"/>
          <w:color w:val="000000"/>
          <w:sz w:val="28"/>
        </w:rPr>
        <w:t>现场负责人</w:t>
      </w:r>
      <w:r>
        <w:rPr>
          <w:rFonts w:ascii="宋体" w:hAnsi="宋体" w:eastAsia="宋体" w:cs="宋体"/>
          <w:color w:val="000000"/>
          <w:sz w:val="28"/>
          <w:u w:val="single"/>
        </w:rPr>
        <w:t>（签字）</w:t>
      </w:r>
    </w:p>
    <w:p>
      <w:pPr>
        <w:snapToGrid/>
        <w:spacing w:before="0" w:after="0" w:line="400" w:lineRule="exact"/>
        <w:jc w:val="center"/>
      </w:pPr>
    </w:p>
    <w:p>
      <w:pPr>
        <w:snapToGrid/>
        <w:spacing w:before="0" w:after="0" w:line="400" w:lineRule="exact"/>
        <w:jc w:val="both"/>
      </w:pPr>
      <w:r>
        <w:rPr>
          <w:rFonts w:ascii="'Times New Roman'" w:hAnsi="'Times New Roman'" w:eastAsia="'Times New Roman'" w:cs="'Times New Roman'"/>
          <w:color w:val="000000"/>
          <w:sz w:val="24"/>
        </w:rPr>
        <w:t> </w:t>
      </w:r>
    </w:p>
    <w:p>
      <w:pPr>
        <w:snapToGrid/>
        <w:spacing w:before="0" w:after="0" w:line="400" w:lineRule="exact"/>
        <w:ind w:firstLine="5280" w:firstLineChars="2200"/>
        <w:jc w:val="both"/>
      </w:pPr>
      <w:r>
        <w:rPr>
          <w:rFonts w:ascii="宋体" w:hAnsi="宋体" w:eastAsia="宋体" w:cs="宋体"/>
          <w:color w:val="000000"/>
          <w:sz w:val="24"/>
        </w:rPr>
        <w:t>编制日期</w:t>
      </w:r>
      <w:r>
        <w:rPr>
          <w:rFonts w:hint="eastAsia" w:ascii="宋体" w:hAnsi="宋体" w:eastAsia="宋体" w:cs="宋体"/>
          <w:color w:val="000000"/>
          <w:sz w:val="24"/>
        </w:rPr>
        <w:t>：</w:t>
      </w:r>
      <w:r>
        <w:rPr>
          <w:rFonts w:ascii="宋体" w:hAnsi="宋体" w:eastAsia="宋体" w:cs="宋体"/>
          <w:color w:val="000000"/>
          <w:sz w:val="24"/>
        </w:rPr>
        <w:t>年月日</w:t>
      </w:r>
    </w:p>
    <w:p>
      <w:pPr>
        <w:snapToGrid/>
        <w:spacing w:before="0" w:after="0" w:line="400" w:lineRule="exact"/>
        <w:ind w:firstLine="3200" w:firstLineChars="1000"/>
        <w:jc w:val="both"/>
        <w:rPr>
          <w:rFonts w:ascii="'Times New Roman'" w:hAnsi="'Times New Roman'" w:eastAsia="'Times New Roman'" w:cs="'Times New Roman'"/>
          <w:color w:val="000000"/>
          <w:spacing w:val="20"/>
          <w:sz w:val="28"/>
        </w:rPr>
      </w:pPr>
      <w:r>
        <w:rPr>
          <w:rFonts w:ascii="'Times New Roman'" w:hAnsi="'Times New Roman'" w:eastAsia="'Times New Roman'" w:cs="'Times New Roman'"/>
          <w:color w:val="000000"/>
          <w:spacing w:val="20"/>
          <w:sz w:val="28"/>
        </w:rPr>
        <w:t> </w:t>
      </w:r>
    </w:p>
    <w:p>
      <w:pPr>
        <w:snapToGrid/>
        <w:spacing w:before="0" w:after="0" w:line="400" w:lineRule="exact"/>
        <w:ind w:firstLine="3200" w:firstLineChars="1000"/>
        <w:jc w:val="both"/>
        <w:rPr>
          <w:rFonts w:ascii="'Times New Roman'" w:hAnsi="'Times New Roman'" w:eastAsia="'Times New Roman'" w:cs="'Times New Roman'"/>
          <w:color w:val="000000"/>
          <w:spacing w:val="20"/>
          <w:sz w:val="28"/>
        </w:rPr>
      </w:pPr>
    </w:p>
    <w:p>
      <w:pPr>
        <w:snapToGrid/>
        <w:spacing w:before="0" w:after="0" w:line="400" w:lineRule="exact"/>
        <w:ind w:firstLine="3200" w:firstLineChars="1000"/>
        <w:jc w:val="both"/>
        <w:rPr>
          <w:rFonts w:ascii="'Times New Roman'" w:hAnsi="'Times New Roman'" w:eastAsia="'Times New Roman'" w:cs="'Times New Roman'"/>
          <w:color w:val="000000"/>
          <w:spacing w:val="20"/>
          <w:sz w:val="28"/>
        </w:rPr>
      </w:pPr>
    </w:p>
    <w:p>
      <w:pPr>
        <w:snapToGrid/>
        <w:spacing w:before="0" w:after="0" w:line="400" w:lineRule="exact"/>
        <w:ind w:firstLine="3200" w:firstLineChars="1000"/>
        <w:jc w:val="both"/>
        <w:rPr>
          <w:rFonts w:ascii="'Times New Roman'" w:hAnsi="'Times New Roman'" w:eastAsia="'Times New Roman'" w:cs="'Times New Roman'"/>
          <w:color w:val="000000"/>
          <w:spacing w:val="20"/>
          <w:sz w:val="28"/>
        </w:rPr>
      </w:pPr>
    </w:p>
    <w:p>
      <w:pPr>
        <w:snapToGrid/>
        <w:spacing w:before="0" w:after="0" w:line="400" w:lineRule="exact"/>
        <w:ind w:firstLine="3200" w:firstLineChars="1000"/>
        <w:jc w:val="both"/>
        <w:rPr>
          <w:rFonts w:ascii="'Times New Roman'" w:hAnsi="'Times New Roman'" w:eastAsia="'Times New Roman'" w:cs="'Times New Roman'"/>
          <w:color w:val="000000"/>
          <w:spacing w:val="20"/>
          <w:sz w:val="28"/>
        </w:rPr>
      </w:pPr>
    </w:p>
    <w:p>
      <w:pPr>
        <w:snapToGrid/>
        <w:spacing w:before="0" w:after="0" w:line="400" w:lineRule="exact"/>
        <w:ind w:firstLine="3200" w:firstLineChars="1000"/>
        <w:jc w:val="both"/>
        <w:rPr>
          <w:rFonts w:ascii="'Times New Roman'" w:hAnsi="'Times New Roman'" w:eastAsia="'Times New Roman'" w:cs="'Times New Roman'"/>
          <w:color w:val="000000"/>
          <w:spacing w:val="20"/>
          <w:sz w:val="28"/>
        </w:rPr>
      </w:pPr>
    </w:p>
    <w:p>
      <w:pPr>
        <w:snapToGrid/>
        <w:spacing w:before="0" w:after="0" w:line="400" w:lineRule="exact"/>
        <w:ind w:firstLine="3200" w:firstLineChars="1000"/>
        <w:jc w:val="both"/>
        <w:rPr>
          <w:rFonts w:ascii="'Times New Roman'" w:hAnsi="'Times New Roman'" w:eastAsia="'Times New Roman'" w:cs="'Times New Roman'"/>
          <w:color w:val="000000"/>
          <w:spacing w:val="20"/>
          <w:sz w:val="28"/>
        </w:rPr>
      </w:pPr>
    </w:p>
    <w:p>
      <w:pPr>
        <w:snapToGrid/>
        <w:spacing w:before="0" w:after="0" w:line="400" w:lineRule="exact"/>
        <w:ind w:firstLine="3200" w:firstLineChars="1000"/>
        <w:jc w:val="both"/>
        <w:rPr>
          <w:rFonts w:ascii="'Times New Roman'" w:hAnsi="'Times New Roman'" w:eastAsia="'Times New Roman'" w:cs="'Times New Roman'"/>
          <w:color w:val="000000"/>
          <w:spacing w:val="20"/>
          <w:sz w:val="28"/>
        </w:rPr>
      </w:pPr>
    </w:p>
    <w:p>
      <w:pPr>
        <w:snapToGrid/>
        <w:spacing w:before="0" w:after="0" w:line="400" w:lineRule="exact"/>
        <w:ind w:firstLine="3200" w:firstLineChars="1000"/>
        <w:jc w:val="both"/>
        <w:rPr>
          <w:rFonts w:ascii="'Times New Roman'" w:hAnsi="'Times New Roman'" w:eastAsia="'Times New Roman'" w:cs="'Times New Roman'"/>
          <w:color w:val="000000"/>
          <w:spacing w:val="20"/>
          <w:sz w:val="28"/>
        </w:rPr>
      </w:pPr>
    </w:p>
    <w:p>
      <w:pPr>
        <w:snapToGrid/>
        <w:spacing w:before="0" w:after="0" w:line="400" w:lineRule="exact"/>
        <w:ind w:firstLine="3200" w:firstLineChars="1000"/>
        <w:jc w:val="both"/>
        <w:rPr>
          <w:rFonts w:ascii="'Times New Roman'" w:hAnsi="'Times New Roman'" w:eastAsia="'Times New Roman'" w:cs="'Times New Roman'"/>
          <w:color w:val="000000"/>
          <w:spacing w:val="20"/>
          <w:sz w:val="28"/>
        </w:rPr>
      </w:pPr>
    </w:p>
    <w:p>
      <w:pPr>
        <w:snapToGrid/>
        <w:spacing w:before="0" w:after="0" w:line="400" w:lineRule="exact"/>
        <w:jc w:val="both"/>
        <w:rPr>
          <w:rFonts w:ascii="'Times New Roman'" w:hAnsi="'Times New Roman'" w:eastAsia="'Times New Roman'" w:cs="'Times New Roman'"/>
          <w:color w:val="000000"/>
          <w:spacing w:val="20"/>
          <w:sz w:val="28"/>
        </w:rPr>
      </w:pPr>
    </w:p>
    <w:p>
      <w:pPr>
        <w:snapToGrid/>
        <w:spacing w:before="0" w:after="0" w:line="400" w:lineRule="exact"/>
        <w:ind w:firstLine="3200" w:firstLineChars="1000"/>
        <w:jc w:val="both"/>
        <w:rPr>
          <w:rFonts w:ascii="'Times New Roman'" w:hAnsi="'Times New Roman'" w:eastAsia="'Times New Roman'" w:cs="'Times New Roman'"/>
          <w:color w:val="000000"/>
          <w:spacing w:val="20"/>
          <w:sz w:val="28"/>
        </w:rPr>
      </w:pPr>
    </w:p>
    <w:p>
      <w:pPr>
        <w:snapToGrid/>
        <w:spacing w:before="0" w:after="0" w:line="400" w:lineRule="exact"/>
        <w:jc w:val="center"/>
        <w:rPr>
          <w:rFonts w:hint="eastAsia" w:ascii="'Times New Roman'" w:hAnsi="'Times New Roman'" w:eastAsia="宋体" w:cs="'Times New Roman'"/>
          <w:color w:val="000000"/>
          <w:spacing w:val="20"/>
          <w:sz w:val="28"/>
        </w:rPr>
      </w:pPr>
      <w:r>
        <w:rPr>
          <w:rFonts w:hint="eastAsia" w:ascii="'Times New Roman'" w:hAnsi="'Times New Roman'" w:eastAsia="宋体" w:cs="'Times New Roman'"/>
          <w:color w:val="000000"/>
          <w:spacing w:val="20"/>
          <w:sz w:val="28"/>
        </w:rPr>
        <w:t>报 价 表</w:t>
      </w:r>
    </w:p>
    <w:p>
      <w:pPr>
        <w:snapToGrid/>
        <w:spacing w:before="0" w:after="0" w:line="400" w:lineRule="exact"/>
        <w:jc w:val="center"/>
      </w:pPr>
      <w:r>
        <w:rPr>
          <w:rFonts w:ascii="宋体" w:hAnsi="宋体" w:eastAsia="宋体" w:cs="宋体"/>
          <w:color w:val="000000"/>
          <w:sz w:val="24"/>
          <w:szCs w:val="24"/>
        </w:rPr>
        <w:t>工程名称：淮南市能源数据中心及数字经济万创园项目施工总承包一标段劳务分包</w:t>
      </w:r>
    </w:p>
    <w:tbl>
      <w:tblPr>
        <w:tblStyle w:val="4"/>
        <w:tblpPr w:leftFromText="180" w:rightFromText="180" w:vertAnchor="text" w:horzAnchor="page" w:tblpX="811" w:tblpY="409"/>
        <w:tblOverlap w:val="never"/>
        <w:tblW w:w="10178" w:type="dxa"/>
        <w:tblInd w:w="0" w:type="dxa"/>
        <w:tblBorders>
          <w:top w:val="single" w:color="CBCDD1" w:sz="6" w:space="0"/>
          <w:left w:val="single" w:color="CBCDD1" w:sz="6" w:space="0"/>
          <w:bottom w:val="single" w:color="CBCDD1" w:sz="6" w:space="0"/>
          <w:right w:val="single" w:color="CBCDD1" w:sz="6" w:space="0"/>
          <w:insideH w:val="single" w:color="CBCDD1" w:sz="6" w:space="0"/>
          <w:insideV w:val="single" w:color="CBCDD1" w:sz="6" w:space="0"/>
        </w:tblBorders>
        <w:tblLayout w:type="fixed"/>
        <w:tblCellMar>
          <w:top w:w="0" w:type="dxa"/>
          <w:left w:w="108" w:type="dxa"/>
          <w:bottom w:w="0" w:type="dxa"/>
          <w:right w:w="108" w:type="dxa"/>
        </w:tblCellMar>
      </w:tblPr>
      <w:tblGrid>
        <w:gridCol w:w="618"/>
        <w:gridCol w:w="792"/>
        <w:gridCol w:w="961"/>
        <w:gridCol w:w="705"/>
        <w:gridCol w:w="1379"/>
        <w:gridCol w:w="91"/>
        <w:gridCol w:w="1319"/>
        <w:gridCol w:w="121"/>
        <w:gridCol w:w="1222"/>
        <w:gridCol w:w="1628"/>
        <w:gridCol w:w="1342"/>
      </w:tblGrid>
      <w:tr>
        <w:tblPrEx>
          <w:tblBorders>
            <w:top w:val="single" w:color="CBCDD1" w:sz="6" w:space="0"/>
            <w:left w:val="single" w:color="CBCDD1" w:sz="6" w:space="0"/>
            <w:bottom w:val="single" w:color="CBCDD1" w:sz="6" w:space="0"/>
            <w:right w:val="single" w:color="CBCDD1" w:sz="6" w:space="0"/>
            <w:insideH w:val="single" w:color="CBCDD1" w:sz="6" w:space="0"/>
            <w:insideV w:val="single" w:color="CBCDD1" w:sz="6" w:space="0"/>
          </w:tblBorders>
          <w:tblCellMar>
            <w:top w:w="0" w:type="dxa"/>
            <w:left w:w="108" w:type="dxa"/>
            <w:bottom w:w="0" w:type="dxa"/>
            <w:right w:w="108" w:type="dxa"/>
          </w:tblCellMar>
        </w:tblPrEx>
        <w:trPr>
          <w:trHeight w:val="714" w:hRule="atLeast"/>
        </w:trPr>
        <w:tc>
          <w:tcPr>
            <w:tcW w:w="618"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napToGrid/>
              <w:spacing w:before="0" w:after="0" w:line="240" w:lineRule="auto"/>
              <w:jc w:val="center"/>
            </w:pPr>
            <w:r>
              <w:rPr>
                <w:rFonts w:ascii="宋体" w:hAnsi="宋体" w:eastAsia="宋体" w:cs="宋体"/>
                <w:color w:val="000000"/>
                <w:sz w:val="21"/>
              </w:rPr>
              <w:t>序号</w:t>
            </w:r>
          </w:p>
        </w:tc>
        <w:tc>
          <w:tcPr>
            <w:tcW w:w="1753" w:type="dxa"/>
            <w:gridSpan w:val="2"/>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napToGrid/>
              <w:spacing w:before="0" w:after="0" w:line="240" w:lineRule="auto"/>
              <w:jc w:val="center"/>
            </w:pPr>
            <w:r>
              <w:rPr>
                <w:rFonts w:ascii="宋体" w:hAnsi="宋体" w:eastAsia="宋体" w:cs="宋体"/>
                <w:color w:val="000000"/>
                <w:sz w:val="21"/>
              </w:rPr>
              <w:t>项目名称</w:t>
            </w:r>
          </w:p>
        </w:tc>
        <w:tc>
          <w:tcPr>
            <w:tcW w:w="705"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napToGrid/>
              <w:spacing w:before="0" w:after="0" w:line="240" w:lineRule="auto"/>
              <w:jc w:val="center"/>
            </w:pPr>
            <w:r>
              <w:rPr>
                <w:rFonts w:ascii="宋体" w:hAnsi="宋体" w:eastAsia="宋体" w:cs="宋体"/>
                <w:color w:val="000000"/>
                <w:sz w:val="21"/>
              </w:rPr>
              <w:t>单位</w:t>
            </w:r>
          </w:p>
        </w:tc>
        <w:tc>
          <w:tcPr>
            <w:tcW w:w="1470" w:type="dxa"/>
            <w:gridSpan w:val="2"/>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napToGrid/>
              <w:spacing w:before="0" w:after="0" w:line="240" w:lineRule="auto"/>
              <w:jc w:val="center"/>
            </w:pPr>
            <w:r>
              <w:rPr>
                <w:rFonts w:ascii="宋体" w:hAnsi="宋体" w:eastAsia="宋体" w:cs="宋体"/>
                <w:color w:val="000000"/>
                <w:sz w:val="21"/>
              </w:rPr>
              <w:t>暂定工程量（M2）</w:t>
            </w:r>
          </w:p>
        </w:tc>
        <w:tc>
          <w:tcPr>
            <w:tcW w:w="1440" w:type="dxa"/>
            <w:gridSpan w:val="2"/>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napToGrid/>
              <w:spacing w:before="0" w:after="0" w:line="240" w:lineRule="auto"/>
              <w:jc w:val="center"/>
            </w:pPr>
            <w:r>
              <w:rPr>
                <w:rFonts w:hint="eastAsia" w:ascii="宋体" w:hAnsi="宋体" w:eastAsia="宋体" w:cs="宋体"/>
                <w:color w:val="000000"/>
                <w:sz w:val="21"/>
                <w:lang w:val="en-US" w:eastAsia="zh-CN"/>
              </w:rPr>
              <w:t>不</w:t>
            </w:r>
            <w:r>
              <w:rPr>
                <w:rFonts w:hint="eastAsia" w:ascii="宋体" w:hAnsi="宋体" w:eastAsia="宋体" w:cs="宋体"/>
                <w:color w:val="000000"/>
                <w:sz w:val="21"/>
              </w:rPr>
              <w:t>含税</w:t>
            </w:r>
            <w:r>
              <w:rPr>
                <w:rFonts w:ascii="宋体" w:hAnsi="宋体" w:eastAsia="宋体" w:cs="宋体"/>
                <w:color w:val="000000"/>
                <w:sz w:val="21"/>
              </w:rPr>
              <w:t>综合单价（元）</w:t>
            </w:r>
          </w:p>
        </w:tc>
        <w:tc>
          <w:tcPr>
            <w:tcW w:w="1222"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napToGrid/>
              <w:spacing w:before="0" w:after="0" w:line="240" w:lineRule="auto"/>
              <w:jc w:val="center"/>
            </w:pPr>
            <w:r>
              <w:rPr>
                <w:rFonts w:hint="eastAsia" w:ascii="宋体" w:hAnsi="宋体" w:eastAsia="宋体" w:cs="宋体"/>
                <w:color w:val="000000"/>
                <w:sz w:val="21"/>
              </w:rPr>
              <w:t>含税</w:t>
            </w:r>
            <w:r>
              <w:rPr>
                <w:rFonts w:ascii="宋体" w:hAnsi="宋体" w:eastAsia="宋体" w:cs="宋体"/>
                <w:color w:val="000000"/>
                <w:sz w:val="21"/>
              </w:rPr>
              <w:t>综合单价（元）</w:t>
            </w:r>
          </w:p>
        </w:tc>
        <w:tc>
          <w:tcPr>
            <w:tcW w:w="1628"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napToGrid/>
              <w:spacing w:before="0" w:after="0" w:line="240" w:lineRule="auto"/>
              <w:jc w:val="center"/>
            </w:pPr>
            <w:r>
              <w:rPr>
                <w:rFonts w:hint="eastAsia" w:ascii="宋体" w:hAnsi="宋体" w:eastAsia="宋体" w:cs="宋体"/>
                <w:color w:val="000000"/>
                <w:sz w:val="21"/>
              </w:rPr>
              <w:t>含税</w:t>
            </w:r>
            <w:r>
              <w:rPr>
                <w:rFonts w:ascii="宋体" w:hAnsi="宋体" w:eastAsia="宋体" w:cs="宋体"/>
                <w:color w:val="000000"/>
                <w:sz w:val="21"/>
              </w:rPr>
              <w:t>合价（元）</w:t>
            </w:r>
          </w:p>
        </w:tc>
        <w:tc>
          <w:tcPr>
            <w:tcW w:w="1342"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napToGrid/>
              <w:spacing w:before="0" w:after="0" w:line="240" w:lineRule="auto"/>
              <w:jc w:val="center"/>
              <w:rPr>
                <w:rFonts w:ascii="宋体" w:hAnsi="宋体" w:eastAsia="宋体" w:cs="宋体"/>
                <w:color w:val="000000"/>
                <w:sz w:val="24"/>
              </w:rPr>
            </w:pPr>
            <w:r>
              <w:rPr>
                <w:rFonts w:ascii="宋体" w:hAnsi="宋体" w:eastAsia="宋体" w:cs="宋体"/>
                <w:color w:val="000000"/>
                <w:sz w:val="24"/>
              </w:rPr>
              <w:t>备注</w:t>
            </w:r>
          </w:p>
        </w:tc>
      </w:tr>
      <w:tr>
        <w:tblPrEx>
          <w:tblBorders>
            <w:top w:val="single" w:color="CBCDD1" w:sz="6" w:space="0"/>
            <w:left w:val="single" w:color="CBCDD1" w:sz="6" w:space="0"/>
            <w:bottom w:val="single" w:color="CBCDD1" w:sz="6" w:space="0"/>
            <w:right w:val="single" w:color="CBCDD1" w:sz="6" w:space="0"/>
            <w:insideH w:val="single" w:color="CBCDD1" w:sz="6" w:space="0"/>
            <w:insideV w:val="single" w:color="CBCDD1" w:sz="6" w:space="0"/>
          </w:tblBorders>
          <w:tblCellMar>
            <w:top w:w="0" w:type="dxa"/>
            <w:left w:w="108" w:type="dxa"/>
            <w:bottom w:w="0" w:type="dxa"/>
            <w:right w:w="108" w:type="dxa"/>
          </w:tblCellMar>
        </w:tblPrEx>
        <w:trPr>
          <w:trHeight w:val="922" w:hRule="atLeast"/>
        </w:trPr>
        <w:tc>
          <w:tcPr>
            <w:tcW w:w="618"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napToGrid/>
              <w:spacing w:before="0" w:after="0" w:line="240" w:lineRule="auto"/>
              <w:jc w:val="center"/>
            </w:pPr>
            <w:r>
              <w:rPr>
                <w:rFonts w:ascii="宋体" w:hAnsi="宋体" w:eastAsia="宋体" w:cs="宋体"/>
                <w:color w:val="000000"/>
                <w:sz w:val="21"/>
              </w:rPr>
              <w:t>1</w:t>
            </w:r>
          </w:p>
        </w:tc>
        <w:tc>
          <w:tcPr>
            <w:tcW w:w="1753" w:type="dxa"/>
            <w:gridSpan w:val="2"/>
            <w:tcBorders>
              <w:top w:val="single" w:color="CBCDD1"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napToGrid/>
              <w:spacing w:before="0" w:after="0" w:line="240" w:lineRule="auto"/>
              <w:jc w:val="center"/>
            </w:pPr>
            <w:r>
              <w:rPr>
                <w:rFonts w:ascii="宋体" w:hAnsi="宋体" w:eastAsia="宋体" w:cs="宋体"/>
                <w:color w:val="000000"/>
                <w:sz w:val="21"/>
              </w:rPr>
              <w:t>木工</w:t>
            </w:r>
          </w:p>
        </w:tc>
        <w:tc>
          <w:tcPr>
            <w:tcW w:w="705" w:type="dxa"/>
            <w:tcBorders>
              <w:top w:val="single" w:color="CBCDD1"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napToGrid/>
              <w:spacing w:before="0" w:after="0" w:line="240" w:lineRule="auto"/>
              <w:jc w:val="center"/>
            </w:pPr>
            <w:r>
              <w:rPr>
                <w:rFonts w:ascii="宋体" w:hAnsi="宋体" w:eastAsia="宋体" w:cs="宋体"/>
                <w:color w:val="000000"/>
                <w:sz w:val="21"/>
              </w:rPr>
              <w:t>㎡</w:t>
            </w:r>
          </w:p>
        </w:tc>
        <w:tc>
          <w:tcPr>
            <w:tcW w:w="1470" w:type="dxa"/>
            <w:gridSpan w:val="2"/>
            <w:tcBorders>
              <w:top w:val="single" w:color="CBCDD1"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napToGrid/>
              <w:spacing w:before="0" w:after="0" w:line="240" w:lineRule="auto"/>
              <w:jc w:val="center"/>
            </w:pPr>
            <w:r>
              <w:rPr>
                <w:rFonts w:ascii="宋体" w:hAnsi="宋体" w:eastAsia="宋体" w:cs="宋体"/>
                <w:color w:val="000000"/>
                <w:sz w:val="21"/>
              </w:rPr>
              <w:t>124285.9</w:t>
            </w:r>
          </w:p>
        </w:tc>
        <w:tc>
          <w:tcPr>
            <w:tcW w:w="1440" w:type="dxa"/>
            <w:gridSpan w:val="2"/>
            <w:tcBorders>
              <w:top w:val="single" w:color="CBCDD1"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napToGrid/>
              <w:spacing w:before="0" w:after="0" w:line="240" w:lineRule="auto"/>
              <w:jc w:val="center"/>
            </w:pPr>
            <w:r>
              <w:rPr>
                <w:rFonts w:ascii="宋体" w:hAnsi="宋体" w:eastAsia="宋体" w:cs="宋体"/>
                <w:color w:val="000000"/>
                <w:sz w:val="21"/>
              </w:rPr>
              <w:t> </w:t>
            </w:r>
          </w:p>
        </w:tc>
        <w:tc>
          <w:tcPr>
            <w:tcW w:w="1222" w:type="dxa"/>
            <w:tcBorders>
              <w:top w:val="single" w:color="CBCDD1"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napToGrid/>
              <w:spacing w:before="0" w:after="0" w:line="240" w:lineRule="auto"/>
              <w:jc w:val="center"/>
            </w:pPr>
            <w:r>
              <w:rPr>
                <w:rFonts w:ascii="宋体" w:hAnsi="宋体" w:eastAsia="宋体" w:cs="宋体"/>
                <w:color w:val="000000"/>
                <w:sz w:val="21"/>
              </w:rPr>
              <w:t> </w:t>
            </w:r>
          </w:p>
        </w:tc>
        <w:tc>
          <w:tcPr>
            <w:tcW w:w="1628" w:type="dxa"/>
            <w:tcBorders>
              <w:top w:val="single" w:color="CBCDD1"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napToGrid/>
              <w:spacing w:before="0" w:after="0" w:line="240" w:lineRule="auto"/>
              <w:jc w:val="both"/>
            </w:pPr>
            <w:r>
              <w:rPr>
                <w:rFonts w:ascii="宋体" w:hAnsi="宋体" w:eastAsia="宋体" w:cs="宋体"/>
                <w:color w:val="000000"/>
                <w:sz w:val="24"/>
              </w:rPr>
              <w:t> </w:t>
            </w:r>
          </w:p>
        </w:tc>
        <w:tc>
          <w:tcPr>
            <w:tcW w:w="1342" w:type="dxa"/>
            <w:tcBorders>
              <w:top w:val="single" w:color="CBCDD1"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napToGrid/>
              <w:spacing w:before="0" w:after="0" w:line="240" w:lineRule="auto"/>
              <w:jc w:val="both"/>
              <w:rPr>
                <w:rFonts w:ascii="宋体" w:hAnsi="宋体" w:eastAsia="宋体" w:cs="宋体"/>
                <w:color w:val="000000"/>
                <w:sz w:val="24"/>
              </w:rPr>
            </w:pPr>
          </w:p>
        </w:tc>
      </w:tr>
      <w:tr>
        <w:tblPrEx>
          <w:tblBorders>
            <w:top w:val="single" w:color="CBCDD1" w:sz="6" w:space="0"/>
            <w:left w:val="single" w:color="CBCDD1" w:sz="6" w:space="0"/>
            <w:bottom w:val="single" w:color="CBCDD1" w:sz="6" w:space="0"/>
            <w:right w:val="single" w:color="CBCDD1" w:sz="6" w:space="0"/>
            <w:insideH w:val="single" w:color="CBCDD1" w:sz="6" w:space="0"/>
            <w:insideV w:val="single" w:color="CBCDD1" w:sz="6" w:space="0"/>
          </w:tblBorders>
          <w:tblCellMar>
            <w:top w:w="0" w:type="dxa"/>
            <w:left w:w="108" w:type="dxa"/>
            <w:bottom w:w="0" w:type="dxa"/>
            <w:right w:w="108" w:type="dxa"/>
          </w:tblCellMar>
        </w:tblPrEx>
        <w:trPr>
          <w:trHeight w:val="930" w:hRule="atLeast"/>
        </w:trPr>
        <w:tc>
          <w:tcPr>
            <w:tcW w:w="618"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napToGrid/>
              <w:spacing w:before="0" w:after="0" w:line="240" w:lineRule="auto"/>
              <w:jc w:val="center"/>
            </w:pPr>
            <w:r>
              <w:rPr>
                <w:rFonts w:ascii="宋体" w:hAnsi="宋体" w:eastAsia="宋体" w:cs="宋体"/>
                <w:color w:val="000000"/>
                <w:sz w:val="21"/>
              </w:rPr>
              <w:t>2</w:t>
            </w:r>
          </w:p>
        </w:tc>
        <w:tc>
          <w:tcPr>
            <w:tcW w:w="1753" w:type="dxa"/>
            <w:gridSpan w:val="2"/>
            <w:tcBorders>
              <w:top w:val="single" w:color="CBCDD1" w:sz="6" w:space="0"/>
              <w:left w:val="single" w:color="000000" w:sz="6" w:space="0"/>
              <w:bottom w:val="single" w:color="CBCDD1" w:sz="6" w:space="0"/>
              <w:right w:val="single" w:color="000000" w:sz="6" w:space="0"/>
              <w:tl2br w:val="nil"/>
              <w:tr2bl w:val="nil"/>
            </w:tcBorders>
            <w:tcMar>
              <w:top w:w="0" w:type="dxa"/>
              <w:left w:w="108" w:type="dxa"/>
              <w:bottom w:w="0" w:type="dxa"/>
              <w:right w:w="108" w:type="dxa"/>
            </w:tcMar>
            <w:vAlign w:val="center"/>
          </w:tcPr>
          <w:p>
            <w:pPr>
              <w:snapToGrid/>
              <w:spacing w:before="0" w:after="0" w:line="240" w:lineRule="auto"/>
              <w:jc w:val="center"/>
            </w:pPr>
            <w:r>
              <w:rPr>
                <w:rFonts w:ascii="宋体" w:hAnsi="宋体" w:eastAsia="宋体" w:cs="宋体"/>
                <w:color w:val="000000"/>
                <w:sz w:val="21"/>
              </w:rPr>
              <w:t>钢筋工</w:t>
            </w:r>
          </w:p>
        </w:tc>
        <w:tc>
          <w:tcPr>
            <w:tcW w:w="705" w:type="dxa"/>
            <w:tcBorders>
              <w:top w:val="single" w:color="CBCDD1" w:sz="6" w:space="0"/>
              <w:left w:val="single" w:color="000000" w:sz="6" w:space="0"/>
              <w:bottom w:val="single" w:color="000000" w:sz="6" w:space="0"/>
              <w:right w:val="single" w:color="000000" w:sz="6" w:space="0"/>
              <w:tl2br w:val="nil"/>
              <w:tr2bl w:val="nil"/>
            </w:tcBorders>
            <w:tcMar>
              <w:top w:w="0" w:type="dxa"/>
              <w:left w:w="108" w:type="dxa"/>
              <w:bottom w:w="0" w:type="dxa"/>
              <w:right w:w="108" w:type="dxa"/>
            </w:tcMar>
            <w:vAlign w:val="center"/>
          </w:tcPr>
          <w:p>
            <w:pPr>
              <w:snapToGrid/>
              <w:spacing w:before="0" w:after="0" w:line="240" w:lineRule="auto"/>
              <w:jc w:val="center"/>
            </w:pPr>
            <w:r>
              <w:rPr>
                <w:rFonts w:ascii="宋体" w:hAnsi="宋体" w:eastAsia="宋体" w:cs="宋体"/>
                <w:color w:val="000000"/>
                <w:sz w:val="21"/>
              </w:rPr>
              <w:t>㎡</w:t>
            </w:r>
          </w:p>
        </w:tc>
        <w:tc>
          <w:tcPr>
            <w:tcW w:w="1470" w:type="dxa"/>
            <w:gridSpan w:val="2"/>
            <w:tcBorders>
              <w:top w:val="single" w:color="CBCDD1" w:sz="6" w:space="0"/>
              <w:left w:val="single" w:color="000000" w:sz="6" w:space="0"/>
              <w:bottom w:val="single" w:color="000000" w:sz="6" w:space="0"/>
              <w:right w:val="single" w:color="000000" w:sz="6" w:space="0"/>
              <w:tl2br w:val="nil"/>
              <w:tr2bl w:val="nil"/>
            </w:tcBorders>
            <w:tcMar>
              <w:top w:w="0" w:type="dxa"/>
              <w:left w:w="108" w:type="dxa"/>
              <w:bottom w:w="0" w:type="dxa"/>
              <w:right w:w="108" w:type="dxa"/>
            </w:tcMar>
            <w:vAlign w:val="center"/>
          </w:tcPr>
          <w:p>
            <w:pPr>
              <w:snapToGrid/>
              <w:spacing w:before="0" w:after="0" w:line="240" w:lineRule="auto"/>
              <w:jc w:val="center"/>
            </w:pPr>
            <w:r>
              <w:rPr>
                <w:rFonts w:ascii="宋体" w:hAnsi="宋体" w:eastAsia="宋体" w:cs="宋体"/>
                <w:color w:val="000000"/>
                <w:sz w:val="21"/>
              </w:rPr>
              <w:t>124285.9</w:t>
            </w:r>
          </w:p>
        </w:tc>
        <w:tc>
          <w:tcPr>
            <w:tcW w:w="1440" w:type="dxa"/>
            <w:gridSpan w:val="2"/>
            <w:tcBorders>
              <w:top w:val="single" w:color="CBCDD1" w:sz="6" w:space="0"/>
              <w:left w:val="single" w:color="000000" w:sz="6" w:space="0"/>
              <w:bottom w:val="single" w:color="000000" w:sz="6" w:space="0"/>
              <w:right w:val="single" w:color="000000" w:sz="6" w:space="0"/>
              <w:tl2br w:val="nil"/>
              <w:tr2bl w:val="nil"/>
            </w:tcBorders>
            <w:tcMar>
              <w:top w:w="0" w:type="dxa"/>
              <w:left w:w="108" w:type="dxa"/>
              <w:bottom w:w="0" w:type="dxa"/>
              <w:right w:w="108" w:type="dxa"/>
            </w:tcMar>
            <w:vAlign w:val="center"/>
          </w:tcPr>
          <w:p>
            <w:pPr>
              <w:snapToGrid/>
              <w:spacing w:before="0" w:after="0" w:line="240" w:lineRule="auto"/>
              <w:jc w:val="center"/>
            </w:pPr>
            <w:r>
              <w:rPr>
                <w:rFonts w:ascii="宋体" w:hAnsi="宋体" w:eastAsia="宋体" w:cs="宋体"/>
                <w:color w:val="000000"/>
                <w:sz w:val="21"/>
              </w:rPr>
              <w:t> </w:t>
            </w:r>
          </w:p>
        </w:tc>
        <w:tc>
          <w:tcPr>
            <w:tcW w:w="1222" w:type="dxa"/>
            <w:tcBorders>
              <w:top w:val="single" w:color="CBCDD1" w:sz="6" w:space="0"/>
              <w:left w:val="single" w:color="000000" w:sz="6" w:space="0"/>
              <w:bottom w:val="single" w:color="000000" w:sz="6" w:space="0"/>
              <w:right w:val="single" w:color="000000" w:sz="6" w:space="0"/>
              <w:tl2br w:val="nil"/>
              <w:tr2bl w:val="nil"/>
            </w:tcBorders>
            <w:tcMar>
              <w:top w:w="0" w:type="dxa"/>
              <w:left w:w="108" w:type="dxa"/>
              <w:bottom w:w="0" w:type="dxa"/>
              <w:right w:w="108" w:type="dxa"/>
            </w:tcMar>
            <w:vAlign w:val="center"/>
          </w:tcPr>
          <w:p>
            <w:pPr>
              <w:snapToGrid/>
              <w:spacing w:before="0" w:after="0" w:line="240" w:lineRule="auto"/>
              <w:jc w:val="center"/>
            </w:pPr>
            <w:r>
              <w:rPr>
                <w:rFonts w:ascii="宋体" w:hAnsi="宋体" w:eastAsia="宋体" w:cs="宋体"/>
                <w:color w:val="000000"/>
                <w:sz w:val="21"/>
              </w:rPr>
              <w:t> </w:t>
            </w:r>
          </w:p>
        </w:tc>
        <w:tc>
          <w:tcPr>
            <w:tcW w:w="1628" w:type="dxa"/>
            <w:tcBorders>
              <w:top w:val="single" w:color="CBCDD1"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napToGrid/>
              <w:spacing w:before="0" w:after="0" w:line="240" w:lineRule="auto"/>
              <w:jc w:val="center"/>
            </w:pPr>
            <w:r>
              <w:rPr>
                <w:rFonts w:ascii="宋体" w:hAnsi="宋体" w:eastAsia="宋体" w:cs="宋体"/>
                <w:color w:val="000000"/>
                <w:sz w:val="24"/>
              </w:rPr>
              <w:t> </w:t>
            </w:r>
          </w:p>
        </w:tc>
        <w:tc>
          <w:tcPr>
            <w:tcW w:w="1342" w:type="dxa"/>
            <w:tcBorders>
              <w:top w:val="single" w:color="CBCDD1"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napToGrid/>
              <w:spacing w:before="0" w:after="0" w:line="240" w:lineRule="auto"/>
              <w:jc w:val="center"/>
              <w:rPr>
                <w:rFonts w:ascii="宋体" w:hAnsi="宋体" w:eastAsia="宋体" w:cs="宋体"/>
                <w:color w:val="000000"/>
                <w:sz w:val="24"/>
              </w:rPr>
            </w:pPr>
          </w:p>
        </w:tc>
      </w:tr>
      <w:tr>
        <w:tblPrEx>
          <w:tblBorders>
            <w:top w:val="single" w:color="CBCDD1" w:sz="6" w:space="0"/>
            <w:left w:val="single" w:color="CBCDD1" w:sz="6" w:space="0"/>
            <w:bottom w:val="single" w:color="CBCDD1" w:sz="6" w:space="0"/>
            <w:right w:val="single" w:color="CBCDD1" w:sz="6" w:space="0"/>
            <w:insideH w:val="single" w:color="CBCDD1" w:sz="6" w:space="0"/>
            <w:insideV w:val="single" w:color="CBCDD1" w:sz="6" w:space="0"/>
          </w:tblBorders>
          <w:tblCellMar>
            <w:top w:w="0" w:type="dxa"/>
            <w:left w:w="108" w:type="dxa"/>
            <w:bottom w:w="0" w:type="dxa"/>
            <w:right w:w="108" w:type="dxa"/>
          </w:tblCellMar>
        </w:tblPrEx>
        <w:trPr>
          <w:trHeight w:val="818" w:hRule="atLeast"/>
        </w:trPr>
        <w:tc>
          <w:tcPr>
            <w:tcW w:w="618" w:type="dxa"/>
            <w:tcBorders>
              <w:top w:val="single" w:color="000000" w:sz="6" w:space="0"/>
              <w:left w:val="single" w:color="000000" w:sz="6" w:space="0"/>
              <w:bottom w:val="single" w:color="CBCDD1" w:sz="6" w:space="0"/>
              <w:right w:val="single" w:color="000000" w:sz="6" w:space="0"/>
            </w:tcBorders>
            <w:tcMar>
              <w:top w:w="0" w:type="dxa"/>
              <w:left w:w="108" w:type="dxa"/>
              <w:bottom w:w="0" w:type="dxa"/>
              <w:right w:w="108" w:type="dxa"/>
            </w:tcMar>
            <w:vAlign w:val="center"/>
          </w:tcPr>
          <w:p>
            <w:pPr>
              <w:snapToGrid/>
              <w:spacing w:before="0" w:after="0" w:line="240" w:lineRule="auto"/>
              <w:jc w:val="right"/>
            </w:pPr>
            <w:r>
              <w:rPr>
                <w:rFonts w:ascii="宋体" w:hAnsi="宋体" w:eastAsia="宋体" w:cs="宋体"/>
                <w:color w:val="000000"/>
                <w:sz w:val="21"/>
              </w:rPr>
              <w:t>3</w:t>
            </w:r>
          </w:p>
        </w:tc>
        <w:tc>
          <w:tcPr>
            <w:tcW w:w="1753" w:type="dxa"/>
            <w:gridSpan w:val="2"/>
            <w:tcBorders>
              <w:top w:val="single" w:color="000000" w:sz="6" w:space="0"/>
              <w:left w:val="single" w:color="000000" w:sz="6" w:space="0"/>
              <w:bottom w:val="single" w:color="CBCDD1" w:sz="6" w:space="0"/>
              <w:right w:val="single" w:color="000000" w:sz="6" w:space="0"/>
              <w:tl2br w:val="nil"/>
              <w:tr2bl w:val="nil"/>
            </w:tcBorders>
            <w:tcMar>
              <w:top w:w="0" w:type="dxa"/>
              <w:left w:w="108" w:type="dxa"/>
              <w:bottom w:w="0" w:type="dxa"/>
              <w:right w:w="108" w:type="dxa"/>
            </w:tcMar>
            <w:vAlign w:val="center"/>
          </w:tcPr>
          <w:p>
            <w:pPr>
              <w:snapToGrid/>
              <w:spacing w:before="0" w:after="0" w:line="240" w:lineRule="auto"/>
              <w:jc w:val="center"/>
            </w:pPr>
            <w:r>
              <w:rPr>
                <w:rFonts w:ascii="宋体" w:hAnsi="宋体" w:eastAsia="宋体" w:cs="宋体"/>
                <w:color w:val="000000"/>
                <w:sz w:val="21"/>
              </w:rPr>
              <w:t>瓦工</w:t>
            </w:r>
          </w:p>
        </w:tc>
        <w:tc>
          <w:tcPr>
            <w:tcW w:w="705" w:type="dxa"/>
            <w:tcBorders>
              <w:top w:val="single" w:color="CBCDD1" w:sz="6" w:space="0"/>
              <w:left w:val="single" w:color="000000" w:sz="6" w:space="0"/>
              <w:bottom w:val="single" w:color="CBCDD1" w:sz="6" w:space="0"/>
              <w:right w:val="single" w:color="000000" w:sz="6" w:space="0"/>
            </w:tcBorders>
            <w:tcMar>
              <w:top w:w="0" w:type="dxa"/>
              <w:left w:w="108" w:type="dxa"/>
              <w:bottom w:w="0" w:type="dxa"/>
              <w:right w:w="108" w:type="dxa"/>
            </w:tcMar>
            <w:vAlign w:val="center"/>
          </w:tcPr>
          <w:p>
            <w:pPr>
              <w:snapToGrid/>
              <w:spacing w:before="0" w:after="0" w:line="240" w:lineRule="auto"/>
              <w:jc w:val="center"/>
            </w:pPr>
            <w:r>
              <w:rPr>
                <w:rFonts w:ascii="宋体" w:hAnsi="宋体" w:eastAsia="宋体" w:cs="宋体"/>
                <w:color w:val="000000"/>
                <w:sz w:val="21"/>
              </w:rPr>
              <w:t>㎡</w:t>
            </w:r>
          </w:p>
        </w:tc>
        <w:tc>
          <w:tcPr>
            <w:tcW w:w="1470" w:type="dxa"/>
            <w:gridSpan w:val="2"/>
            <w:tcBorders>
              <w:top w:val="single" w:color="CBCDD1" w:sz="6" w:space="0"/>
              <w:left w:val="single" w:color="000000" w:sz="6" w:space="0"/>
              <w:bottom w:val="single" w:color="CBCDD1" w:sz="6" w:space="0"/>
              <w:right w:val="single" w:color="000000" w:sz="6" w:space="0"/>
            </w:tcBorders>
            <w:tcMar>
              <w:top w:w="0" w:type="dxa"/>
              <w:left w:w="108" w:type="dxa"/>
              <w:bottom w:w="0" w:type="dxa"/>
              <w:right w:w="108" w:type="dxa"/>
            </w:tcMar>
            <w:vAlign w:val="center"/>
          </w:tcPr>
          <w:p>
            <w:pPr>
              <w:snapToGrid/>
              <w:spacing w:before="0" w:after="0" w:line="240" w:lineRule="auto"/>
              <w:jc w:val="center"/>
            </w:pPr>
            <w:r>
              <w:rPr>
                <w:rFonts w:ascii="宋体" w:hAnsi="宋体" w:eastAsia="宋体" w:cs="宋体"/>
                <w:color w:val="000000"/>
                <w:sz w:val="21"/>
              </w:rPr>
              <w:t>124285.9</w:t>
            </w:r>
          </w:p>
        </w:tc>
        <w:tc>
          <w:tcPr>
            <w:tcW w:w="1440" w:type="dxa"/>
            <w:gridSpan w:val="2"/>
            <w:tcBorders>
              <w:top w:val="single" w:color="CBCDD1" w:sz="6" w:space="0"/>
              <w:left w:val="single" w:color="000000" w:sz="6" w:space="0"/>
              <w:bottom w:val="single" w:color="CBCDD1" w:sz="6" w:space="0"/>
              <w:right w:val="single" w:color="000000" w:sz="6" w:space="0"/>
            </w:tcBorders>
            <w:tcMar>
              <w:top w:w="0" w:type="dxa"/>
              <w:left w:w="108" w:type="dxa"/>
              <w:bottom w:w="0" w:type="dxa"/>
              <w:right w:w="108" w:type="dxa"/>
            </w:tcMar>
            <w:vAlign w:val="center"/>
          </w:tcPr>
          <w:p>
            <w:pPr>
              <w:snapToGrid/>
              <w:spacing w:before="0" w:after="0" w:line="240" w:lineRule="auto"/>
              <w:jc w:val="center"/>
            </w:pPr>
            <w:r>
              <w:rPr>
                <w:rFonts w:ascii="宋体" w:hAnsi="宋体" w:eastAsia="宋体" w:cs="宋体"/>
                <w:color w:val="000000"/>
                <w:sz w:val="21"/>
              </w:rPr>
              <w:t> </w:t>
            </w:r>
          </w:p>
        </w:tc>
        <w:tc>
          <w:tcPr>
            <w:tcW w:w="1222" w:type="dxa"/>
            <w:tcBorders>
              <w:top w:val="single" w:color="CBCDD1" w:sz="6" w:space="0"/>
              <w:left w:val="single" w:color="000000" w:sz="6" w:space="0"/>
              <w:bottom w:val="single" w:color="CBCDD1" w:sz="6" w:space="0"/>
              <w:right w:val="single" w:color="000000" w:sz="6" w:space="0"/>
            </w:tcBorders>
            <w:tcMar>
              <w:top w:w="0" w:type="dxa"/>
              <w:left w:w="108" w:type="dxa"/>
              <w:bottom w:w="0" w:type="dxa"/>
              <w:right w:w="108" w:type="dxa"/>
            </w:tcMar>
            <w:vAlign w:val="center"/>
          </w:tcPr>
          <w:p>
            <w:pPr>
              <w:snapToGrid/>
              <w:spacing w:before="0" w:after="0" w:line="240" w:lineRule="auto"/>
              <w:jc w:val="center"/>
            </w:pPr>
            <w:r>
              <w:rPr>
                <w:rFonts w:ascii="宋体" w:hAnsi="宋体" w:eastAsia="宋体" w:cs="宋体"/>
                <w:color w:val="000000"/>
                <w:sz w:val="21"/>
              </w:rPr>
              <w:t> </w:t>
            </w:r>
          </w:p>
        </w:tc>
        <w:tc>
          <w:tcPr>
            <w:tcW w:w="1628" w:type="dxa"/>
            <w:tcBorders>
              <w:top w:val="single" w:color="CBCDD1" w:sz="6" w:space="0"/>
              <w:left w:val="single" w:color="000000" w:sz="6" w:space="0"/>
              <w:bottom w:val="single" w:color="CBCDD1" w:sz="6" w:space="0"/>
              <w:right w:val="single" w:color="000000" w:sz="6" w:space="0"/>
            </w:tcBorders>
            <w:tcMar>
              <w:top w:w="0" w:type="dxa"/>
              <w:left w:w="108" w:type="dxa"/>
              <w:bottom w:w="0" w:type="dxa"/>
              <w:right w:w="108" w:type="dxa"/>
            </w:tcMar>
            <w:vAlign w:val="center"/>
          </w:tcPr>
          <w:p>
            <w:pPr>
              <w:snapToGrid/>
              <w:spacing w:before="0" w:after="0" w:line="240" w:lineRule="auto"/>
              <w:jc w:val="both"/>
            </w:pPr>
            <w:r>
              <w:rPr>
                <w:rFonts w:ascii="宋体" w:hAnsi="宋体" w:eastAsia="宋体" w:cs="宋体"/>
                <w:color w:val="000000"/>
                <w:sz w:val="24"/>
              </w:rPr>
              <w:t> </w:t>
            </w:r>
          </w:p>
        </w:tc>
        <w:tc>
          <w:tcPr>
            <w:tcW w:w="1342" w:type="dxa"/>
            <w:tcBorders>
              <w:top w:val="single" w:color="CBCDD1" w:sz="6" w:space="0"/>
              <w:left w:val="single" w:color="000000" w:sz="6" w:space="0"/>
              <w:bottom w:val="single" w:color="CBCDD1" w:sz="6" w:space="0"/>
              <w:right w:val="single" w:color="000000" w:sz="6" w:space="0"/>
            </w:tcBorders>
            <w:tcMar>
              <w:top w:w="0" w:type="dxa"/>
              <w:left w:w="108" w:type="dxa"/>
              <w:bottom w:w="0" w:type="dxa"/>
              <w:right w:w="108" w:type="dxa"/>
            </w:tcMar>
            <w:vAlign w:val="center"/>
          </w:tcPr>
          <w:p>
            <w:pPr>
              <w:snapToGrid/>
              <w:spacing w:before="0" w:after="0" w:line="240" w:lineRule="auto"/>
              <w:jc w:val="both"/>
              <w:rPr>
                <w:rFonts w:ascii="宋体" w:hAnsi="宋体" w:eastAsia="宋体" w:cs="宋体"/>
                <w:color w:val="000000"/>
                <w:sz w:val="24"/>
              </w:rPr>
            </w:pPr>
          </w:p>
        </w:tc>
      </w:tr>
      <w:tr>
        <w:tblPrEx>
          <w:tblBorders>
            <w:top w:val="single" w:color="CBCDD1" w:sz="6" w:space="0"/>
            <w:left w:val="single" w:color="CBCDD1" w:sz="6" w:space="0"/>
            <w:bottom w:val="single" w:color="CBCDD1" w:sz="6" w:space="0"/>
            <w:right w:val="single" w:color="CBCDD1" w:sz="6" w:space="0"/>
            <w:insideH w:val="single" w:color="CBCDD1" w:sz="6" w:space="0"/>
            <w:insideV w:val="single" w:color="CBCDD1" w:sz="6" w:space="0"/>
          </w:tblBorders>
          <w:tblCellMar>
            <w:top w:w="0" w:type="dxa"/>
            <w:left w:w="108" w:type="dxa"/>
            <w:bottom w:w="0" w:type="dxa"/>
            <w:right w:w="108" w:type="dxa"/>
          </w:tblCellMar>
        </w:tblPrEx>
        <w:trPr>
          <w:trHeight w:val="868" w:hRule="atLeast"/>
        </w:trPr>
        <w:tc>
          <w:tcPr>
            <w:tcW w:w="618" w:type="dxa"/>
            <w:tcBorders>
              <w:top w:val="single" w:color="CBCDD1"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napToGrid/>
              <w:spacing w:before="0" w:after="0" w:line="240" w:lineRule="auto"/>
              <w:jc w:val="center"/>
            </w:pPr>
            <w:r>
              <w:rPr>
                <w:rFonts w:ascii="宋体" w:hAnsi="宋体" w:eastAsia="宋体" w:cs="宋体"/>
                <w:color w:val="000000"/>
                <w:sz w:val="21"/>
              </w:rPr>
              <w:t>5</w:t>
            </w:r>
          </w:p>
        </w:tc>
        <w:tc>
          <w:tcPr>
            <w:tcW w:w="1753" w:type="dxa"/>
            <w:gridSpan w:val="2"/>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napToGrid/>
              <w:spacing w:before="0" w:after="0" w:line="240" w:lineRule="auto"/>
              <w:jc w:val="center"/>
            </w:pPr>
            <w:r>
              <w:t>架子工</w:t>
            </w:r>
          </w:p>
        </w:tc>
        <w:tc>
          <w:tcPr>
            <w:tcW w:w="705"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napToGrid/>
              <w:spacing w:before="0" w:after="0" w:line="240" w:lineRule="auto"/>
              <w:jc w:val="center"/>
            </w:pPr>
            <w:r>
              <w:rPr>
                <w:rFonts w:ascii="宋体" w:hAnsi="宋体" w:eastAsia="宋体" w:cs="宋体"/>
                <w:color w:val="000000"/>
                <w:sz w:val="21"/>
              </w:rPr>
              <w:t>㎡</w:t>
            </w:r>
          </w:p>
        </w:tc>
        <w:tc>
          <w:tcPr>
            <w:tcW w:w="1470" w:type="dxa"/>
            <w:gridSpan w:val="2"/>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napToGrid/>
              <w:spacing w:before="0" w:after="0" w:line="240" w:lineRule="auto"/>
              <w:jc w:val="center"/>
            </w:pPr>
            <w:r>
              <w:rPr>
                <w:rFonts w:ascii="宋体" w:hAnsi="宋体" w:eastAsia="宋体" w:cs="宋体"/>
                <w:color w:val="000000"/>
                <w:sz w:val="21"/>
              </w:rPr>
              <w:t>124285.9</w:t>
            </w:r>
          </w:p>
        </w:tc>
        <w:tc>
          <w:tcPr>
            <w:tcW w:w="1440" w:type="dxa"/>
            <w:gridSpan w:val="2"/>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napToGrid/>
              <w:spacing w:before="0" w:after="0" w:line="240" w:lineRule="auto"/>
              <w:jc w:val="center"/>
            </w:pPr>
            <w:r>
              <w:rPr>
                <w:rFonts w:ascii="宋体" w:hAnsi="宋体" w:eastAsia="宋体" w:cs="宋体"/>
                <w:color w:val="000000"/>
                <w:sz w:val="21"/>
              </w:rPr>
              <w:t> </w:t>
            </w:r>
          </w:p>
        </w:tc>
        <w:tc>
          <w:tcPr>
            <w:tcW w:w="1222"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napToGrid/>
              <w:spacing w:before="0" w:after="0" w:line="240" w:lineRule="auto"/>
              <w:jc w:val="center"/>
            </w:pPr>
            <w:r>
              <w:rPr>
                <w:rFonts w:ascii="宋体" w:hAnsi="宋体" w:eastAsia="宋体" w:cs="宋体"/>
                <w:color w:val="000000"/>
                <w:sz w:val="21"/>
              </w:rPr>
              <w:t> </w:t>
            </w:r>
          </w:p>
        </w:tc>
        <w:tc>
          <w:tcPr>
            <w:tcW w:w="1628" w:type="dxa"/>
            <w:tcBorders>
              <w:top w:val="single" w:color="000000" w:sz="6" w:space="0"/>
              <w:left w:val="single" w:color="000000" w:sz="6" w:space="0"/>
              <w:bottom w:val="single" w:color="000000" w:sz="6" w:space="0"/>
              <w:right w:val="single" w:color="000000" w:sz="6" w:space="0"/>
              <w:tl2br w:val="nil"/>
              <w:tr2bl w:val="nil"/>
            </w:tcBorders>
            <w:tcMar>
              <w:top w:w="0" w:type="dxa"/>
              <w:left w:w="108" w:type="dxa"/>
              <w:bottom w:w="0" w:type="dxa"/>
              <w:right w:w="108" w:type="dxa"/>
            </w:tcMar>
            <w:vAlign w:val="center"/>
          </w:tcPr>
          <w:p>
            <w:pPr>
              <w:snapToGrid/>
              <w:spacing w:before="0" w:after="0" w:line="240" w:lineRule="auto"/>
              <w:jc w:val="both"/>
            </w:pPr>
            <w:r>
              <w:rPr>
                <w:rFonts w:ascii="宋体" w:hAnsi="宋体" w:eastAsia="宋体" w:cs="宋体"/>
                <w:color w:val="000000"/>
                <w:sz w:val="24"/>
              </w:rPr>
              <w:t> </w:t>
            </w:r>
          </w:p>
        </w:tc>
        <w:tc>
          <w:tcPr>
            <w:tcW w:w="1342" w:type="dxa"/>
            <w:tcBorders>
              <w:top w:val="single" w:color="000000" w:sz="6" w:space="0"/>
              <w:left w:val="single" w:color="000000" w:sz="6" w:space="0"/>
              <w:bottom w:val="single" w:color="000000" w:sz="6" w:space="0"/>
              <w:right w:val="single" w:color="000000" w:sz="6" w:space="0"/>
              <w:tl2br w:val="nil"/>
              <w:tr2bl w:val="nil"/>
            </w:tcBorders>
            <w:tcMar>
              <w:top w:w="0" w:type="dxa"/>
              <w:left w:w="108" w:type="dxa"/>
              <w:bottom w:w="0" w:type="dxa"/>
              <w:right w:w="108" w:type="dxa"/>
            </w:tcMar>
            <w:vAlign w:val="center"/>
          </w:tcPr>
          <w:p>
            <w:pPr>
              <w:snapToGrid/>
              <w:spacing w:before="0" w:after="0" w:line="240" w:lineRule="auto"/>
              <w:jc w:val="both"/>
              <w:rPr>
                <w:rFonts w:ascii="宋体" w:hAnsi="宋体" w:eastAsia="宋体" w:cs="宋体"/>
                <w:color w:val="000000"/>
                <w:sz w:val="24"/>
              </w:rPr>
            </w:pPr>
          </w:p>
        </w:tc>
      </w:tr>
      <w:tr>
        <w:tblPrEx>
          <w:tblBorders>
            <w:top w:val="single" w:color="CBCDD1" w:sz="6" w:space="0"/>
            <w:left w:val="single" w:color="CBCDD1" w:sz="6" w:space="0"/>
            <w:bottom w:val="single" w:color="CBCDD1" w:sz="6" w:space="0"/>
            <w:right w:val="single" w:color="CBCDD1" w:sz="6" w:space="0"/>
            <w:insideH w:val="single" w:color="CBCDD1" w:sz="6" w:space="0"/>
            <w:insideV w:val="single" w:color="CBCDD1" w:sz="6" w:space="0"/>
          </w:tblBorders>
          <w:tblCellMar>
            <w:top w:w="0" w:type="dxa"/>
            <w:left w:w="108" w:type="dxa"/>
            <w:bottom w:w="0" w:type="dxa"/>
            <w:right w:w="108" w:type="dxa"/>
          </w:tblCellMar>
        </w:tblPrEx>
        <w:trPr>
          <w:trHeight w:val="753" w:hRule="atLeast"/>
        </w:trPr>
        <w:tc>
          <w:tcPr>
            <w:tcW w:w="618"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napToGrid/>
              <w:spacing w:before="0" w:after="0" w:line="240" w:lineRule="auto"/>
              <w:jc w:val="center"/>
            </w:pPr>
            <w:r>
              <w:rPr>
                <w:rFonts w:ascii="宋体" w:hAnsi="宋体" w:eastAsia="宋体" w:cs="宋体"/>
                <w:color w:val="000000"/>
                <w:sz w:val="21"/>
              </w:rPr>
              <w:t>6</w:t>
            </w:r>
          </w:p>
        </w:tc>
        <w:tc>
          <w:tcPr>
            <w:tcW w:w="1753" w:type="dxa"/>
            <w:gridSpan w:val="2"/>
            <w:tcBorders>
              <w:top w:val="single" w:color="CBCDD1"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napToGrid/>
              <w:spacing w:before="0" w:after="0" w:line="240" w:lineRule="auto"/>
              <w:jc w:val="center"/>
            </w:pPr>
            <w:r>
              <w:rPr>
                <w:rFonts w:ascii="宋体" w:hAnsi="宋体" w:eastAsia="宋体" w:cs="宋体"/>
                <w:color w:val="000000"/>
                <w:sz w:val="21"/>
              </w:rPr>
              <w:t>水电安装</w:t>
            </w:r>
          </w:p>
        </w:tc>
        <w:tc>
          <w:tcPr>
            <w:tcW w:w="705" w:type="dxa"/>
            <w:tcBorders>
              <w:top w:val="single" w:color="CBCDD1"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napToGrid/>
              <w:spacing w:before="0" w:after="0" w:line="240" w:lineRule="auto"/>
              <w:jc w:val="center"/>
            </w:pPr>
            <w:r>
              <w:rPr>
                <w:rFonts w:ascii="宋体" w:hAnsi="宋体" w:eastAsia="宋体" w:cs="宋体"/>
                <w:color w:val="000000"/>
                <w:sz w:val="21"/>
              </w:rPr>
              <w:t>㎡</w:t>
            </w:r>
          </w:p>
        </w:tc>
        <w:tc>
          <w:tcPr>
            <w:tcW w:w="1470" w:type="dxa"/>
            <w:gridSpan w:val="2"/>
            <w:tcBorders>
              <w:top w:val="single" w:color="CBCDD1"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napToGrid/>
              <w:spacing w:before="0" w:after="0" w:line="240" w:lineRule="auto"/>
              <w:jc w:val="center"/>
            </w:pPr>
            <w:r>
              <w:rPr>
                <w:rFonts w:ascii="宋体" w:hAnsi="宋体" w:eastAsia="宋体" w:cs="宋体"/>
                <w:color w:val="000000"/>
                <w:sz w:val="21"/>
              </w:rPr>
              <w:t>124285.9</w:t>
            </w:r>
          </w:p>
        </w:tc>
        <w:tc>
          <w:tcPr>
            <w:tcW w:w="1440" w:type="dxa"/>
            <w:gridSpan w:val="2"/>
            <w:tcBorders>
              <w:top w:val="single" w:color="CBCDD1"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napToGrid/>
              <w:spacing w:before="0" w:after="0" w:line="240" w:lineRule="auto"/>
              <w:jc w:val="center"/>
            </w:pPr>
            <w:r>
              <w:rPr>
                <w:rFonts w:ascii="宋体" w:hAnsi="宋体" w:eastAsia="宋体" w:cs="宋体"/>
                <w:color w:val="000000"/>
                <w:sz w:val="21"/>
              </w:rPr>
              <w:t> </w:t>
            </w:r>
          </w:p>
        </w:tc>
        <w:tc>
          <w:tcPr>
            <w:tcW w:w="1222" w:type="dxa"/>
            <w:tcBorders>
              <w:top w:val="single" w:color="CBCDD1"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napToGrid/>
              <w:spacing w:before="0" w:after="0" w:line="240" w:lineRule="auto"/>
              <w:jc w:val="center"/>
            </w:pPr>
            <w:r>
              <w:rPr>
                <w:rFonts w:ascii="宋体" w:hAnsi="宋体" w:eastAsia="宋体" w:cs="宋体"/>
                <w:color w:val="000000"/>
                <w:sz w:val="21"/>
              </w:rPr>
              <w:t> </w:t>
            </w:r>
          </w:p>
        </w:tc>
        <w:tc>
          <w:tcPr>
            <w:tcW w:w="1628" w:type="dxa"/>
            <w:tcBorders>
              <w:top w:val="single" w:color="CBCDD1"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napToGrid/>
              <w:spacing w:before="0" w:after="0" w:line="240" w:lineRule="auto"/>
              <w:jc w:val="both"/>
            </w:pPr>
            <w:r>
              <w:rPr>
                <w:rFonts w:ascii="宋体" w:hAnsi="宋体" w:eastAsia="宋体" w:cs="宋体"/>
                <w:color w:val="000000"/>
                <w:sz w:val="24"/>
              </w:rPr>
              <w:t> </w:t>
            </w:r>
          </w:p>
        </w:tc>
        <w:tc>
          <w:tcPr>
            <w:tcW w:w="1342" w:type="dxa"/>
            <w:tcBorders>
              <w:top w:val="single" w:color="CBCDD1"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napToGrid/>
              <w:spacing w:before="0" w:after="0" w:line="240" w:lineRule="auto"/>
              <w:jc w:val="both"/>
              <w:rPr>
                <w:rFonts w:ascii="宋体" w:hAnsi="宋体" w:eastAsia="宋体" w:cs="宋体"/>
                <w:color w:val="000000"/>
                <w:sz w:val="24"/>
              </w:rPr>
            </w:pPr>
          </w:p>
        </w:tc>
      </w:tr>
      <w:tr>
        <w:tblPrEx>
          <w:tblBorders>
            <w:top w:val="single" w:color="CBCDD1" w:sz="6" w:space="0"/>
            <w:left w:val="single" w:color="CBCDD1" w:sz="6" w:space="0"/>
            <w:bottom w:val="single" w:color="CBCDD1" w:sz="6" w:space="0"/>
            <w:right w:val="single" w:color="CBCDD1" w:sz="6" w:space="0"/>
            <w:insideH w:val="single" w:color="CBCDD1" w:sz="6" w:space="0"/>
            <w:insideV w:val="single" w:color="CBCDD1" w:sz="6" w:space="0"/>
          </w:tblBorders>
          <w:tblCellMar>
            <w:top w:w="0" w:type="dxa"/>
            <w:left w:w="108" w:type="dxa"/>
            <w:bottom w:w="0" w:type="dxa"/>
            <w:right w:w="108" w:type="dxa"/>
          </w:tblCellMar>
        </w:tblPrEx>
        <w:trPr>
          <w:trHeight w:val="711" w:hRule="atLeast"/>
        </w:trPr>
        <w:tc>
          <w:tcPr>
            <w:tcW w:w="618"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napToGrid/>
              <w:spacing w:before="0" w:after="0" w:line="240" w:lineRule="auto"/>
              <w:jc w:val="center"/>
            </w:pPr>
            <w:r>
              <w:rPr>
                <w:rFonts w:ascii="宋体" w:hAnsi="宋体" w:eastAsia="宋体" w:cs="宋体"/>
                <w:color w:val="000000"/>
                <w:sz w:val="21"/>
              </w:rPr>
              <w:t>7</w:t>
            </w:r>
          </w:p>
        </w:tc>
        <w:tc>
          <w:tcPr>
            <w:tcW w:w="1753" w:type="dxa"/>
            <w:gridSpan w:val="2"/>
            <w:tcBorders>
              <w:top w:val="single" w:color="CBCDD1"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napToGrid/>
              <w:spacing w:before="0" w:after="0" w:line="240" w:lineRule="auto"/>
              <w:jc w:val="center"/>
            </w:pPr>
            <w:r>
              <w:rPr>
                <w:rFonts w:ascii="宋体" w:hAnsi="宋体" w:eastAsia="宋体" w:cs="宋体"/>
                <w:color w:val="000000"/>
                <w:sz w:val="21"/>
              </w:rPr>
              <w:t>安全文明施工费</w:t>
            </w:r>
          </w:p>
        </w:tc>
        <w:tc>
          <w:tcPr>
            <w:tcW w:w="705" w:type="dxa"/>
            <w:tcBorders>
              <w:top w:val="single" w:color="CBCDD1"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napToGrid/>
              <w:spacing w:before="0" w:after="0" w:line="240" w:lineRule="auto"/>
              <w:jc w:val="center"/>
            </w:pPr>
            <w:r>
              <w:rPr>
                <w:rFonts w:ascii="宋体" w:hAnsi="宋体" w:eastAsia="宋体" w:cs="宋体"/>
                <w:color w:val="000000"/>
                <w:sz w:val="21"/>
              </w:rPr>
              <w:t>㎡</w:t>
            </w:r>
          </w:p>
        </w:tc>
        <w:tc>
          <w:tcPr>
            <w:tcW w:w="1470" w:type="dxa"/>
            <w:gridSpan w:val="2"/>
            <w:tcBorders>
              <w:top w:val="single" w:color="CBCDD1"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napToGrid/>
              <w:spacing w:before="0" w:after="0" w:line="240" w:lineRule="auto"/>
              <w:jc w:val="center"/>
            </w:pPr>
            <w:r>
              <w:rPr>
                <w:rFonts w:ascii="宋体" w:hAnsi="宋体" w:eastAsia="宋体" w:cs="宋体"/>
                <w:color w:val="000000"/>
                <w:sz w:val="21"/>
              </w:rPr>
              <w:t>124285.9</w:t>
            </w:r>
          </w:p>
        </w:tc>
        <w:tc>
          <w:tcPr>
            <w:tcW w:w="1440" w:type="dxa"/>
            <w:gridSpan w:val="2"/>
            <w:tcBorders>
              <w:top w:val="single" w:color="CBCDD1"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napToGrid/>
              <w:spacing w:before="0" w:after="0" w:line="240" w:lineRule="auto"/>
              <w:jc w:val="center"/>
            </w:pPr>
            <w:r>
              <w:rPr>
                <w:rFonts w:ascii="宋体" w:hAnsi="宋体" w:eastAsia="宋体" w:cs="宋体"/>
                <w:color w:val="000000"/>
                <w:sz w:val="21"/>
              </w:rPr>
              <w:t> </w:t>
            </w:r>
          </w:p>
        </w:tc>
        <w:tc>
          <w:tcPr>
            <w:tcW w:w="1222" w:type="dxa"/>
            <w:tcBorders>
              <w:top w:val="single" w:color="CBCDD1"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napToGrid/>
              <w:spacing w:before="0" w:after="0" w:line="240" w:lineRule="auto"/>
              <w:jc w:val="center"/>
            </w:pPr>
            <w:r>
              <w:rPr>
                <w:rFonts w:ascii="宋体" w:hAnsi="宋体" w:eastAsia="宋体" w:cs="宋体"/>
                <w:color w:val="000000"/>
                <w:sz w:val="21"/>
              </w:rPr>
              <w:t> </w:t>
            </w:r>
          </w:p>
        </w:tc>
        <w:tc>
          <w:tcPr>
            <w:tcW w:w="1628" w:type="dxa"/>
            <w:tcBorders>
              <w:top w:val="single" w:color="CBCDD1"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napToGrid/>
              <w:spacing w:before="0" w:after="0" w:line="240" w:lineRule="auto"/>
              <w:jc w:val="both"/>
            </w:pPr>
            <w:r>
              <w:rPr>
                <w:rFonts w:ascii="宋体" w:hAnsi="宋体" w:eastAsia="宋体" w:cs="宋体"/>
                <w:color w:val="000000"/>
                <w:sz w:val="24"/>
              </w:rPr>
              <w:t> </w:t>
            </w:r>
          </w:p>
        </w:tc>
        <w:tc>
          <w:tcPr>
            <w:tcW w:w="1342" w:type="dxa"/>
            <w:tcBorders>
              <w:top w:val="single" w:color="CBCDD1"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napToGrid/>
              <w:spacing w:before="0" w:after="0" w:line="240" w:lineRule="auto"/>
              <w:jc w:val="both"/>
              <w:rPr>
                <w:rFonts w:ascii="宋体" w:hAnsi="宋体" w:eastAsia="宋体" w:cs="宋体"/>
                <w:color w:val="000000"/>
                <w:sz w:val="24"/>
              </w:rPr>
            </w:pPr>
          </w:p>
        </w:tc>
      </w:tr>
      <w:tr>
        <w:tblPrEx>
          <w:tblBorders>
            <w:top w:val="single" w:color="CBCDD1" w:sz="6" w:space="0"/>
            <w:left w:val="single" w:color="CBCDD1" w:sz="6" w:space="0"/>
            <w:bottom w:val="single" w:color="CBCDD1" w:sz="6" w:space="0"/>
            <w:right w:val="single" w:color="CBCDD1" w:sz="6" w:space="0"/>
            <w:insideH w:val="single" w:color="CBCDD1" w:sz="6" w:space="0"/>
            <w:insideV w:val="single" w:color="CBCDD1" w:sz="6" w:space="0"/>
          </w:tblBorders>
          <w:tblCellMar>
            <w:top w:w="0" w:type="dxa"/>
            <w:left w:w="108" w:type="dxa"/>
            <w:bottom w:w="0" w:type="dxa"/>
            <w:right w:w="108" w:type="dxa"/>
          </w:tblCellMar>
        </w:tblPrEx>
        <w:trPr>
          <w:trHeight w:val="918" w:hRule="atLeast"/>
        </w:trPr>
        <w:tc>
          <w:tcPr>
            <w:tcW w:w="618"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napToGrid/>
              <w:spacing w:before="0" w:after="0" w:line="240" w:lineRule="auto"/>
              <w:jc w:val="center"/>
            </w:pPr>
            <w:r>
              <w:rPr>
                <w:rFonts w:ascii="宋体" w:hAnsi="宋体" w:eastAsia="宋体" w:cs="宋体"/>
                <w:color w:val="000000"/>
                <w:sz w:val="21"/>
              </w:rPr>
              <w:t>8</w:t>
            </w:r>
          </w:p>
        </w:tc>
        <w:tc>
          <w:tcPr>
            <w:tcW w:w="1753" w:type="dxa"/>
            <w:gridSpan w:val="2"/>
            <w:tcBorders>
              <w:top w:val="single" w:color="CBCDD1"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napToGrid/>
              <w:spacing w:before="0" w:after="0" w:line="240" w:lineRule="auto"/>
              <w:jc w:val="center"/>
            </w:pPr>
            <w:r>
              <w:rPr>
                <w:rFonts w:ascii="宋体" w:hAnsi="宋体" w:eastAsia="宋体" w:cs="宋体"/>
                <w:color w:val="000000"/>
                <w:sz w:val="21"/>
              </w:rPr>
              <w:t>垂直运输费</w:t>
            </w:r>
          </w:p>
        </w:tc>
        <w:tc>
          <w:tcPr>
            <w:tcW w:w="705" w:type="dxa"/>
            <w:tcBorders>
              <w:top w:val="single" w:color="CBCDD1"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napToGrid/>
              <w:spacing w:before="0" w:after="0" w:line="240" w:lineRule="auto"/>
              <w:jc w:val="center"/>
            </w:pPr>
            <w:r>
              <w:rPr>
                <w:rFonts w:ascii="宋体" w:hAnsi="宋体" w:eastAsia="宋体" w:cs="宋体"/>
                <w:color w:val="000000"/>
                <w:sz w:val="21"/>
              </w:rPr>
              <w:t>㎡</w:t>
            </w:r>
          </w:p>
        </w:tc>
        <w:tc>
          <w:tcPr>
            <w:tcW w:w="1470" w:type="dxa"/>
            <w:gridSpan w:val="2"/>
            <w:tcBorders>
              <w:top w:val="single" w:color="CBCDD1"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napToGrid/>
              <w:spacing w:before="0" w:after="0" w:line="240" w:lineRule="auto"/>
              <w:jc w:val="center"/>
            </w:pPr>
            <w:r>
              <w:rPr>
                <w:rFonts w:ascii="宋体" w:hAnsi="宋体" w:eastAsia="宋体" w:cs="宋体"/>
                <w:color w:val="000000"/>
                <w:sz w:val="21"/>
              </w:rPr>
              <w:t>124285.9</w:t>
            </w:r>
          </w:p>
        </w:tc>
        <w:tc>
          <w:tcPr>
            <w:tcW w:w="1440" w:type="dxa"/>
            <w:gridSpan w:val="2"/>
            <w:tcBorders>
              <w:top w:val="single" w:color="CBCDD1"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napToGrid/>
              <w:spacing w:before="0" w:after="0" w:line="240" w:lineRule="auto"/>
              <w:jc w:val="center"/>
            </w:pPr>
            <w:r>
              <w:rPr>
                <w:rFonts w:ascii="宋体" w:hAnsi="宋体" w:eastAsia="宋体" w:cs="宋体"/>
                <w:color w:val="000000"/>
                <w:sz w:val="21"/>
              </w:rPr>
              <w:t> </w:t>
            </w:r>
          </w:p>
        </w:tc>
        <w:tc>
          <w:tcPr>
            <w:tcW w:w="1222" w:type="dxa"/>
            <w:tcBorders>
              <w:top w:val="single" w:color="CBCDD1"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napToGrid/>
              <w:spacing w:before="0" w:after="0" w:line="240" w:lineRule="auto"/>
              <w:jc w:val="center"/>
            </w:pPr>
            <w:r>
              <w:rPr>
                <w:rFonts w:ascii="宋体" w:hAnsi="宋体" w:eastAsia="宋体" w:cs="宋体"/>
                <w:color w:val="000000"/>
                <w:sz w:val="21"/>
              </w:rPr>
              <w:t> </w:t>
            </w:r>
          </w:p>
        </w:tc>
        <w:tc>
          <w:tcPr>
            <w:tcW w:w="1628" w:type="dxa"/>
            <w:tcBorders>
              <w:top w:val="single" w:color="CBCDD1"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napToGrid/>
              <w:spacing w:before="0" w:after="0" w:line="240" w:lineRule="auto"/>
              <w:jc w:val="both"/>
            </w:pPr>
            <w:r>
              <w:rPr>
                <w:rFonts w:ascii="宋体" w:hAnsi="宋体" w:eastAsia="宋体" w:cs="宋体"/>
                <w:color w:val="000000"/>
                <w:sz w:val="24"/>
              </w:rPr>
              <w:t> </w:t>
            </w:r>
          </w:p>
        </w:tc>
        <w:tc>
          <w:tcPr>
            <w:tcW w:w="1342" w:type="dxa"/>
            <w:tcBorders>
              <w:top w:val="single" w:color="CBCDD1"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napToGrid/>
              <w:spacing w:before="0" w:after="0" w:line="240" w:lineRule="auto"/>
              <w:jc w:val="both"/>
              <w:rPr>
                <w:rFonts w:ascii="宋体" w:hAnsi="宋体" w:eastAsia="宋体" w:cs="宋体"/>
                <w:color w:val="000000"/>
                <w:sz w:val="24"/>
              </w:rPr>
            </w:pPr>
          </w:p>
        </w:tc>
      </w:tr>
      <w:tr>
        <w:tblPrEx>
          <w:tblBorders>
            <w:top w:val="single" w:color="CBCDD1" w:sz="6" w:space="0"/>
            <w:left w:val="single" w:color="CBCDD1" w:sz="6" w:space="0"/>
            <w:bottom w:val="single" w:color="CBCDD1" w:sz="6" w:space="0"/>
            <w:right w:val="single" w:color="CBCDD1" w:sz="6" w:space="0"/>
            <w:insideH w:val="single" w:color="CBCDD1" w:sz="6" w:space="0"/>
            <w:insideV w:val="single" w:color="CBCDD1" w:sz="6" w:space="0"/>
          </w:tblBorders>
          <w:tblCellMar>
            <w:top w:w="0" w:type="dxa"/>
            <w:left w:w="108" w:type="dxa"/>
            <w:bottom w:w="0" w:type="dxa"/>
            <w:right w:w="108" w:type="dxa"/>
          </w:tblCellMar>
        </w:tblPrEx>
        <w:trPr>
          <w:trHeight w:val="1034" w:hRule="atLeast"/>
        </w:trPr>
        <w:tc>
          <w:tcPr>
            <w:tcW w:w="8836" w:type="dxa"/>
            <w:gridSpan w:val="10"/>
            <w:tcBorders>
              <w:top w:val="single" w:color="CBCDD1"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napToGrid/>
              <w:spacing w:before="0" w:after="0" w:line="240" w:lineRule="auto"/>
              <w:jc w:val="both"/>
            </w:pPr>
            <w:r>
              <w:rPr>
                <w:rFonts w:ascii="宋体" w:hAnsi="宋体" w:eastAsia="宋体" w:cs="宋体"/>
                <w:color w:val="000000"/>
                <w:sz w:val="24"/>
              </w:rPr>
              <w:t>总价：元   大写：含增值税%</w:t>
            </w:r>
          </w:p>
        </w:tc>
        <w:tc>
          <w:tcPr>
            <w:tcW w:w="1342" w:type="dxa"/>
            <w:tcBorders>
              <w:top w:val="single" w:color="CBCDD1"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napToGrid/>
              <w:spacing w:before="0" w:after="0" w:line="240" w:lineRule="auto"/>
              <w:jc w:val="both"/>
              <w:rPr>
                <w:rFonts w:ascii="宋体" w:hAnsi="宋体" w:eastAsia="宋体" w:cs="宋体"/>
                <w:color w:val="000000"/>
                <w:sz w:val="24"/>
              </w:rPr>
            </w:pPr>
          </w:p>
        </w:tc>
      </w:tr>
      <w:tr>
        <w:tblPrEx>
          <w:tblBorders>
            <w:top w:val="single" w:color="CBCDD1" w:sz="6" w:space="0"/>
            <w:left w:val="single" w:color="CBCDD1" w:sz="6" w:space="0"/>
            <w:bottom w:val="single" w:color="CBCDD1" w:sz="6" w:space="0"/>
            <w:right w:val="single" w:color="CBCDD1" w:sz="6" w:space="0"/>
            <w:insideH w:val="single" w:color="CBCDD1" w:sz="6" w:space="0"/>
            <w:insideV w:val="single" w:color="CBCDD1" w:sz="6" w:space="0"/>
          </w:tblBorders>
          <w:tblCellMar>
            <w:top w:w="0" w:type="dxa"/>
            <w:left w:w="108" w:type="dxa"/>
            <w:bottom w:w="0" w:type="dxa"/>
            <w:right w:w="108" w:type="dxa"/>
          </w:tblCellMar>
        </w:tblPrEx>
        <w:trPr>
          <w:gridAfter w:val="4"/>
          <w:wAfter w:w="4313" w:type="dxa"/>
          <w:trHeight w:val="312" w:hRule="atLeast"/>
        </w:trPr>
        <w:tc>
          <w:tcPr>
            <w:tcW w:w="618" w:type="dxa"/>
            <w:tcBorders>
              <w:top w:val="single" w:color="CBCDD1" w:sz="6" w:space="0"/>
              <w:left w:val="single" w:color="CBCDD1" w:sz="6" w:space="0"/>
              <w:bottom w:val="single" w:color="CBCDD1" w:sz="6" w:space="0"/>
              <w:right w:val="single" w:color="CBCDD1" w:sz="6" w:space="0"/>
            </w:tcBorders>
            <w:tcMar>
              <w:top w:w="0" w:type="dxa"/>
              <w:left w:w="108" w:type="dxa"/>
              <w:bottom w:w="0" w:type="dxa"/>
              <w:right w:w="108" w:type="dxa"/>
            </w:tcMar>
            <w:vAlign w:val="center"/>
          </w:tcPr>
          <w:p>
            <w:pPr>
              <w:snapToGrid/>
              <w:spacing w:before="0" w:after="0" w:line="240" w:lineRule="auto"/>
              <w:jc w:val="both"/>
            </w:pPr>
            <w:r>
              <w:rPr>
                <w:rFonts w:ascii="宋体" w:hAnsi="宋体" w:eastAsia="宋体" w:cs="宋体"/>
                <w:color w:val="000000"/>
                <w:sz w:val="24"/>
              </w:rPr>
              <w:t> </w:t>
            </w:r>
          </w:p>
        </w:tc>
        <w:tc>
          <w:tcPr>
            <w:tcW w:w="792" w:type="dxa"/>
            <w:tcBorders>
              <w:top w:val="single" w:color="CBCDD1" w:sz="6" w:space="0"/>
              <w:left w:val="single" w:color="CBCDD1" w:sz="6" w:space="0"/>
              <w:bottom w:val="single" w:color="CBCDD1" w:sz="6" w:space="0"/>
              <w:right w:val="single" w:color="CBCDD1" w:sz="6" w:space="0"/>
            </w:tcBorders>
            <w:tcMar>
              <w:top w:w="0" w:type="dxa"/>
              <w:left w:w="108" w:type="dxa"/>
              <w:bottom w:w="0" w:type="dxa"/>
              <w:right w:w="108" w:type="dxa"/>
            </w:tcMar>
            <w:vAlign w:val="center"/>
          </w:tcPr>
          <w:p>
            <w:pPr>
              <w:snapToGrid/>
              <w:spacing w:before="0" w:after="0" w:line="240" w:lineRule="auto"/>
              <w:jc w:val="both"/>
            </w:pPr>
            <w:r>
              <w:rPr>
                <w:rFonts w:ascii="宋体" w:hAnsi="宋体" w:eastAsia="宋体" w:cs="宋体"/>
                <w:color w:val="000000"/>
                <w:sz w:val="24"/>
              </w:rPr>
              <w:t> </w:t>
            </w:r>
          </w:p>
        </w:tc>
        <w:tc>
          <w:tcPr>
            <w:tcW w:w="3045" w:type="dxa"/>
            <w:gridSpan w:val="3"/>
            <w:tcBorders>
              <w:top w:val="single" w:color="CBCDD1" w:sz="6" w:space="0"/>
              <w:left w:val="single" w:color="CBCDD1" w:sz="6" w:space="0"/>
              <w:bottom w:val="single" w:color="CBCDD1" w:sz="6" w:space="0"/>
              <w:right w:val="single" w:color="CBCDD1" w:sz="6" w:space="0"/>
            </w:tcBorders>
            <w:tcMar>
              <w:top w:w="0" w:type="dxa"/>
              <w:left w:w="108" w:type="dxa"/>
              <w:bottom w:w="0" w:type="dxa"/>
              <w:right w:w="108" w:type="dxa"/>
            </w:tcMar>
            <w:vAlign w:val="center"/>
          </w:tcPr>
          <w:p>
            <w:pPr>
              <w:snapToGrid/>
              <w:spacing w:before="0" w:after="0" w:line="240" w:lineRule="auto"/>
              <w:jc w:val="both"/>
            </w:pPr>
            <w:r>
              <w:rPr>
                <w:rFonts w:ascii="宋体" w:hAnsi="宋体" w:eastAsia="宋体" w:cs="宋体"/>
                <w:color w:val="000000"/>
                <w:sz w:val="24"/>
              </w:rPr>
              <w:t> </w:t>
            </w:r>
          </w:p>
        </w:tc>
        <w:tc>
          <w:tcPr>
            <w:tcW w:w="1410" w:type="dxa"/>
            <w:gridSpan w:val="2"/>
            <w:tcBorders>
              <w:top w:val="single" w:color="CBCDD1" w:sz="6" w:space="0"/>
              <w:left w:val="single" w:color="CBCDD1" w:sz="6" w:space="0"/>
              <w:bottom w:val="single" w:color="CBCDD1" w:sz="6" w:space="0"/>
              <w:right w:val="single" w:color="CBCDD1" w:sz="6" w:space="0"/>
            </w:tcBorders>
            <w:tcMar>
              <w:top w:w="0" w:type="dxa"/>
              <w:left w:w="108" w:type="dxa"/>
              <w:bottom w:w="0" w:type="dxa"/>
              <w:right w:w="108" w:type="dxa"/>
            </w:tcMar>
            <w:vAlign w:val="center"/>
          </w:tcPr>
          <w:p>
            <w:pPr>
              <w:snapToGrid/>
              <w:spacing w:before="0" w:after="0" w:line="240" w:lineRule="auto"/>
              <w:jc w:val="both"/>
              <w:rPr>
                <w:rFonts w:ascii="宋体" w:hAnsi="宋体" w:eastAsia="宋体" w:cs="宋体"/>
                <w:color w:val="000000"/>
                <w:sz w:val="24"/>
              </w:rPr>
            </w:pPr>
          </w:p>
        </w:tc>
      </w:tr>
    </w:tbl>
    <w:p>
      <w:pPr>
        <w:snapToGrid/>
        <w:spacing w:before="0" w:after="0" w:line="420" w:lineRule="auto"/>
        <w:jc w:val="both"/>
      </w:pPr>
      <w:r>
        <w:rPr>
          <w:rFonts w:ascii="宋体" w:hAnsi="宋体" w:eastAsia="宋体" w:cs="宋体"/>
          <w:color w:val="000000"/>
          <w:sz w:val="21"/>
        </w:rPr>
        <w:t xml:space="preserve">投标人：（公章） </w:t>
      </w:r>
    </w:p>
    <w:p>
      <w:pPr>
        <w:snapToGrid/>
        <w:spacing w:before="0" w:after="0" w:line="400" w:lineRule="exact"/>
        <w:ind w:firstLine="420" w:firstLineChars="200"/>
        <w:jc w:val="both"/>
      </w:pPr>
      <w:r>
        <w:rPr>
          <w:rFonts w:ascii="宋体" w:hAnsi="宋体" w:eastAsia="宋体" w:cs="宋体"/>
          <w:color w:val="000000"/>
          <w:sz w:val="21"/>
        </w:rPr>
        <w:t xml:space="preserve"> 年    月    日</w:t>
      </w:r>
    </w:p>
    <w:p>
      <w:pPr>
        <w:pStyle w:val="2"/>
        <w:jc w:val="left"/>
      </w:pPr>
    </w:p>
    <w:p/>
    <w:p/>
    <w:p/>
    <w:p/>
    <w:p/>
    <w:sectPr>
      <w:pgSz w:w="11905" w:h="16838"/>
      <w:pgMar w:top="1361" w:right="1417" w:bottom="1361" w:left="1417"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楷体">
    <w:panose1 w:val="02010609060101010101"/>
    <w:charset w:val="86"/>
    <w:family w:val="modern"/>
    <w:pitch w:val="default"/>
    <w:sig w:usb0="800002BF" w:usb1="38CF7CFA" w:usb2="00000016" w:usb3="00000000" w:csb0="00040001" w:csb1="00000000"/>
  </w:font>
  <w:font w:name="'Times New Roman'">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312" w:lineRule="auto"/>
      </w:pPr>
      <w:r>
        <w:separator/>
      </w:r>
    </w:p>
  </w:footnote>
  <w:footnote w:type="continuationSeparator" w:id="1">
    <w:p>
      <w:pPr>
        <w:spacing w:before="0" w:after="0" w:line="312"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doNotExpandShiftReturn/>
    <w:doNotWrapTextWithPunct/>
    <w:doNotUseEastAsianBreakRules/>
    <w:useFELayout/>
    <w:doNotUseIndentAsNumberingTabStop/>
    <w:compatSetting w:name="compatibilityMode" w:uri="http://schemas.microsoft.com/office/word" w:val="12"/>
  </w:compat>
  <w:docVars>
    <w:docVar w:name="commondata" w:val="eyJoZGlkIjoiMTdlM2Q4OTExYzY0MTMzYjkxZTdhYjNmMmI4NjBmZDUifQ=="/>
  </w:docVars>
  <w:rsids>
    <w:rsidRoot w:val="00AD117C"/>
    <w:rsid w:val="0015102E"/>
    <w:rsid w:val="002934A7"/>
    <w:rsid w:val="003E6738"/>
    <w:rsid w:val="00963201"/>
    <w:rsid w:val="00AD117C"/>
    <w:rsid w:val="00B653C4"/>
    <w:rsid w:val="00C61691"/>
    <w:rsid w:val="038D16A3"/>
    <w:rsid w:val="03BD7DA2"/>
    <w:rsid w:val="047D34C5"/>
    <w:rsid w:val="05791EDF"/>
    <w:rsid w:val="092C7268"/>
    <w:rsid w:val="0BEF4CA9"/>
    <w:rsid w:val="0C3D1EB8"/>
    <w:rsid w:val="0D9C576C"/>
    <w:rsid w:val="0DA63A8D"/>
    <w:rsid w:val="0FE64614"/>
    <w:rsid w:val="109C2F25"/>
    <w:rsid w:val="110C3A33"/>
    <w:rsid w:val="13535599"/>
    <w:rsid w:val="150618BB"/>
    <w:rsid w:val="17F13B56"/>
    <w:rsid w:val="1B5B5EB7"/>
    <w:rsid w:val="1BA219B3"/>
    <w:rsid w:val="1DCC40F3"/>
    <w:rsid w:val="1F9A2E46"/>
    <w:rsid w:val="22686050"/>
    <w:rsid w:val="25224873"/>
    <w:rsid w:val="28B53499"/>
    <w:rsid w:val="2DDD6BFF"/>
    <w:rsid w:val="2EAD1145"/>
    <w:rsid w:val="3355548A"/>
    <w:rsid w:val="37D72911"/>
    <w:rsid w:val="3BC176AA"/>
    <w:rsid w:val="3EA92F39"/>
    <w:rsid w:val="3EDB3487"/>
    <w:rsid w:val="43E50164"/>
    <w:rsid w:val="4CAD63CD"/>
    <w:rsid w:val="50831163"/>
    <w:rsid w:val="50AF7B2F"/>
    <w:rsid w:val="51E26721"/>
    <w:rsid w:val="54592906"/>
    <w:rsid w:val="56F754B3"/>
    <w:rsid w:val="5DB37626"/>
    <w:rsid w:val="5DBF00EC"/>
    <w:rsid w:val="5DF37170"/>
    <w:rsid w:val="5ED36C09"/>
    <w:rsid w:val="60297177"/>
    <w:rsid w:val="612A23A8"/>
    <w:rsid w:val="65150466"/>
    <w:rsid w:val="659A6BA8"/>
    <w:rsid w:val="67C63196"/>
    <w:rsid w:val="67D41272"/>
    <w:rsid w:val="680B501F"/>
    <w:rsid w:val="6D7B72BF"/>
    <w:rsid w:val="6FBE5A38"/>
    <w:rsid w:val="6FE853BE"/>
    <w:rsid w:val="705E46C6"/>
    <w:rsid w:val="712771E8"/>
    <w:rsid w:val="73E21D4F"/>
    <w:rsid w:val="743A2D87"/>
    <w:rsid w:val="753A7A60"/>
    <w:rsid w:val="766C5C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9"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snapToGrid w:val="0"/>
      <w:spacing w:before="60" w:after="60" w:line="312" w:lineRule="auto"/>
    </w:pPr>
    <w:rPr>
      <w:rFonts w:asciiTheme="minorHAnsi" w:hAnsiTheme="minorHAnsi" w:eastAsiaTheme="minorEastAsia" w:cstheme="minorBidi"/>
      <w:color w:val="333333"/>
      <w:kern w:val="2"/>
      <w:sz w:val="22"/>
      <w:szCs w:val="22"/>
      <w:lang w:val="en-US" w:eastAsia="zh-CN" w:bidi="ar-SA"/>
    </w:rPr>
  </w:style>
  <w:style w:type="character" w:default="1" w:styleId="5">
    <w:name w:val="Default Paragraph Font"/>
    <w:autoRedefine/>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Title"/>
    <w:basedOn w:val="1"/>
    <w:next w:val="1"/>
    <w:autoRedefine/>
    <w:qFormat/>
    <w:uiPriority w:val="9"/>
    <w:pPr>
      <w:keepNext/>
      <w:keepLines/>
      <w:spacing w:before="0" w:after="0" w:line="408" w:lineRule="auto"/>
      <w:jc w:val="center"/>
      <w:outlineLvl w:val="0"/>
    </w:pPr>
    <w:rPr>
      <w:b/>
      <w:bCs/>
      <w:color w:val="1A1A1A"/>
      <w:sz w:val="48"/>
      <w:szCs w:val="48"/>
    </w:rPr>
  </w:style>
  <w:style w:type="table" w:styleId="4">
    <w:name w:val="Table Grid"/>
    <w:basedOn w:val="3"/>
    <w:autoRedefine/>
    <w:qFormat/>
    <w:uiPriority w:val="39"/>
    <w:tblPr>
      <w:tblBorders>
        <w:top w:val="single" w:color="CBCDD1" w:sz="6" w:space="0"/>
        <w:left w:val="single" w:color="CBCDD1" w:sz="6" w:space="0"/>
        <w:bottom w:val="single" w:color="CBCDD1" w:sz="6" w:space="0"/>
        <w:right w:val="single" w:color="CBCDD1" w:sz="6" w:space="0"/>
        <w:insideH w:val="single" w:color="CBCDD1" w:sz="6" w:space="0"/>
        <w:insideV w:val="single" w:color="CBCDD1" w:sz="6" w:space="0"/>
      </w:tblBorders>
      <w:tblCellMar>
        <w:top w:w="0" w:type="dxa"/>
        <w:left w:w="108" w:type="dxa"/>
        <w:bottom w:w="0" w:type="dxa"/>
        <w:right w:w="108" w:type="dxa"/>
      </w:tblCellMar>
    </w:tblPr>
    <w:tcPr>
      <w:vAlign w:val="center"/>
    </w:tcPr>
  </w:style>
  <w:style w:type="character" w:styleId="6">
    <w:name w:val="Hyperlink"/>
    <w:basedOn w:val="5"/>
    <w:autoRedefine/>
    <w:unhideWhenUsed/>
    <w:qFormat/>
    <w:uiPriority w:val="99"/>
    <w:rPr>
      <w:color w:val="0563C1" w:themeColor="hyperlink"/>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25</Pages>
  <Words>2715</Words>
  <Characters>15480</Characters>
  <Lines>129</Lines>
  <Paragraphs>36</Paragraphs>
  <TotalTime>10</TotalTime>
  <ScaleCrop>false</ScaleCrop>
  <LinksUpToDate>false</LinksUpToDate>
  <CharactersWithSpaces>18159</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2024-02-26T16:59:00Z</dcterms:created>
  <dc:creator>86159</dc:creator>
  <cp:lastModifiedBy>角落、</cp:lastModifiedBy>
  <dcterms:modified xsi:type="dcterms:W3CDTF">2024-03-11T12:32:24Z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1CAB3079950C40A0B922985E8A79C8BC_12</vt:lpwstr>
  </property>
</Properties>
</file>