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潘集经济开发区标准化厂房项目</w:t>
      </w:r>
    </w:p>
    <w:p>
      <w:pPr>
        <w:spacing w:line="360" w:lineRule="auto"/>
        <w:jc w:val="center"/>
        <w:rPr>
          <w:b/>
          <w:bCs/>
          <w:sz w:val="52"/>
        </w:rPr>
      </w:pPr>
      <w:r>
        <w:rPr>
          <w:rFonts w:hint="eastAsia"/>
          <w:b/>
          <w:bCs/>
          <w:sz w:val="52"/>
        </w:rPr>
        <w:t>新建沥青道路工程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 xml:space="preserve">二〇二三 年 </w:t>
      </w:r>
      <w:r>
        <w:rPr>
          <w:rFonts w:hint="eastAsia"/>
          <w:b/>
          <w:sz w:val="32"/>
          <w:szCs w:val="32"/>
          <w:lang w:eastAsia="zh-CN"/>
        </w:rPr>
        <w:t>十一</w:t>
      </w:r>
      <w:r>
        <w:rPr>
          <w:rFonts w:hint="eastAsia"/>
          <w:b/>
          <w:sz w:val="32"/>
          <w:szCs w:val="32"/>
        </w:rPr>
        <w:t xml:space="preserve"> 月 </w:t>
      </w:r>
      <w:r>
        <w:rPr>
          <w:rFonts w:hint="eastAsia"/>
          <w:b/>
          <w:sz w:val="32"/>
          <w:szCs w:val="32"/>
          <w:lang w:eastAsia="zh-CN"/>
        </w:rPr>
        <w:t>一</w:t>
      </w:r>
      <w:r>
        <w:rPr>
          <w:rFonts w:hint="eastAsia"/>
          <w:b/>
          <w:sz w:val="32"/>
          <w:szCs w:val="32"/>
        </w:rPr>
        <w:t xml:space="preserve"> 日</w:t>
      </w:r>
    </w:p>
    <w:p/>
    <w:p>
      <w:pPr>
        <w:adjustRightInd w:val="0"/>
        <w:snapToGrid w:val="0"/>
        <w:spacing w:line="360" w:lineRule="auto"/>
        <w:ind w:right="420" w:rightChars="200" w:firstLine="480" w:firstLineChars="200"/>
        <w:rPr>
          <w:rFonts w:eastAsia="仿宋_GB2312"/>
          <w:sz w:val="24"/>
        </w:r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本工程包括潘集经济开发区标准化厂房项目园区内新建沥青道路工程及道路标线及标识标牌施工，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工程名称：潘集经济开发区标准化厂房项目新建沥青道路工程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包工、包料、包机械、包工期、包质量、包安全、包文明施工并由报价方自供材料的形式承包施工，据实结算。</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32"/>
          <w:szCs w:val="32"/>
        </w:rPr>
      </w:pPr>
    </w:p>
    <w:p>
      <w:pPr>
        <w:spacing w:line="360" w:lineRule="auto"/>
        <w:jc w:val="center"/>
        <w:rPr>
          <w:rFonts w:eastAsia="仿宋_GB2312"/>
          <w:b/>
          <w:bCs/>
          <w:color w:val="000000"/>
          <w:sz w:val="32"/>
          <w:szCs w:val="32"/>
        </w:rPr>
      </w:pPr>
      <w:r>
        <w:rPr>
          <w:rFonts w:hint="eastAsia" w:eastAsia="仿宋_GB2312"/>
          <w:b/>
          <w:bCs/>
          <w:color w:val="000000"/>
          <w:sz w:val="32"/>
          <w:szCs w:val="32"/>
        </w:rPr>
        <w:t>工程量一览表</w:t>
      </w:r>
    </w:p>
    <w:tbl>
      <w:tblPr>
        <w:tblStyle w:val="4"/>
        <w:tblW w:w="14801" w:type="dxa"/>
        <w:tblInd w:w="93" w:type="dxa"/>
        <w:tblLayout w:type="fixed"/>
        <w:tblCellMar>
          <w:top w:w="0" w:type="dxa"/>
          <w:left w:w="108" w:type="dxa"/>
          <w:bottom w:w="0" w:type="dxa"/>
          <w:right w:w="108" w:type="dxa"/>
        </w:tblCellMar>
      </w:tblPr>
      <w:tblGrid>
        <w:gridCol w:w="441"/>
        <w:gridCol w:w="2551"/>
        <w:gridCol w:w="4111"/>
        <w:gridCol w:w="709"/>
        <w:gridCol w:w="1134"/>
        <w:gridCol w:w="1275"/>
        <w:gridCol w:w="1418"/>
        <w:gridCol w:w="3162"/>
      </w:tblGrid>
      <w:tr>
        <w:tblPrEx>
          <w:tblCellMar>
            <w:top w:w="0" w:type="dxa"/>
            <w:left w:w="108" w:type="dxa"/>
            <w:bottom w:w="0" w:type="dxa"/>
            <w:right w:w="108" w:type="dxa"/>
          </w:tblCellMar>
        </w:tblPrEx>
        <w:trPr>
          <w:trHeight w:val="48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color w:val="000000"/>
                <w:kern w:val="0"/>
                <w:szCs w:val="21"/>
                <w:lang w:bidi="ar"/>
              </w:rPr>
              <w:t>项目名称</w:t>
            </w:r>
          </w:p>
        </w:tc>
        <w:tc>
          <w:tcPr>
            <w:tcW w:w="41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项目特征描述</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4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316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cs="宋体"/>
                <w:color w:val="000000"/>
                <w:kern w:val="0"/>
                <w:sz w:val="22"/>
                <w:szCs w:val="22"/>
              </w:rPr>
            </w:pPr>
            <w:r>
              <w:rPr>
                <w:rFonts w:hint="eastAsia" w:ascii="仿宋_GB2312" w:hAnsi="宋体" w:eastAsia="仿宋_GB2312"/>
                <w:szCs w:val="21"/>
              </w:rPr>
              <w:t>沥青混凝土上面层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1、4cm细粒式沥青混泥土AC-13（C）,施工控制压实度以实验室标准密度为标准密度≥98%;</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vMerge w:val="restart"/>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r>
              <w:rPr>
                <w:rFonts w:hint="eastAsia" w:ascii="宋体" w:hAnsi="宋体" w:cs="宋体"/>
                <w:b/>
                <w:bCs/>
                <w:color w:val="000000"/>
                <w:kern w:val="0"/>
                <w:sz w:val="22"/>
                <w:szCs w:val="22"/>
              </w:rPr>
              <w:t>本表内工程量暂定量，据实结算。</w:t>
            </w:r>
          </w:p>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未尽事项详见设计图纸。</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仿宋_GB2312" w:hAnsi="宋体" w:eastAsia="仿宋_GB2312"/>
                <w:szCs w:val="21"/>
              </w:rPr>
            </w:pPr>
            <w:r>
              <w:rPr>
                <w:rFonts w:hint="eastAsia" w:ascii="仿宋_GB2312" w:hAnsi="宋体" w:eastAsia="仿宋_GB2312"/>
                <w:szCs w:val="21"/>
              </w:rPr>
              <w:t>沥青混凝土下面层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1、6cm中粒式沥青混凝土AC-20（C）, 施工控制压实度以实验室标准密度为标准密度≥97%;</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复合玻纤格栅</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1、无碱玻璃纤维，碱金属氧化物含量不大于0.8%；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2、矩形，孔径宜为其上铺筑的沥青面层材料最大粒径的0.5～1.0倍;</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3、极限抗拉强度≥50KN/m；</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4、极限伸长率≤4%；</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5、热老化后断裂强度：经170℃、1h热处理后，其经向和纬向拉伸断裂强度应不小于原强度的90%</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仿宋" w:hAnsi="仿宋" w:eastAsia="仿宋" w:cs="仿宋"/>
                <w:sz w:val="24"/>
              </w:rPr>
              <w:t>防裂贴</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纵横缝处铺自粘式33CM（横缝）宽，50CM（纵缝）宽，厚度2mm，单位质量2.00KG/㎡</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FF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1804.5</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道路</w:t>
            </w:r>
            <w:r>
              <w:rPr>
                <w:rFonts w:hint="eastAsia" w:ascii="宋体" w:hAnsi="宋体" w:cs="宋体"/>
                <w:color w:val="000000"/>
                <w:kern w:val="0"/>
                <w:szCs w:val="21"/>
                <w:lang w:bidi="ar"/>
              </w:rPr>
              <w:t>中心</w:t>
            </w:r>
            <w:r>
              <w:rPr>
                <w:rFonts w:ascii="宋体" w:hAnsi="宋体" w:cs="宋体"/>
                <w:color w:val="000000"/>
                <w:kern w:val="0"/>
                <w:szCs w:val="21"/>
                <w:lang w:bidi="ar"/>
              </w:rPr>
              <w:t>黄色虚线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ascii="仿宋_GB2312" w:hAnsi="宋体" w:eastAsia="仿宋_GB2312"/>
                <w:sz w:val="18"/>
                <w:szCs w:val="21"/>
              </w:rPr>
              <w:t>标线尺寸：</w:t>
            </w:r>
            <w:r>
              <w:rPr>
                <w:rFonts w:hint="eastAsia" w:ascii="仿宋_GB2312" w:hAnsi="宋体" w:eastAsia="仿宋_GB2312"/>
                <w:sz w:val="18"/>
                <w:szCs w:val="21"/>
              </w:rPr>
              <w:t>4m实线、间隔6m，宽度0.1m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63.5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道路禁停黄色实线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ascii="仿宋_GB2312" w:hAnsi="宋体" w:eastAsia="仿宋_GB2312"/>
                <w:sz w:val="18"/>
                <w:szCs w:val="21"/>
              </w:rPr>
              <w:t>宽度</w:t>
            </w:r>
            <w:r>
              <w:rPr>
                <w:rFonts w:hint="eastAsia" w:ascii="仿宋_GB2312" w:hAnsi="宋体" w:eastAsia="仿宋_GB2312"/>
                <w:sz w:val="18"/>
                <w:szCs w:val="21"/>
              </w:rPr>
              <w:t>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608</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减速让行标线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虚线尺寸：0.6m实线间隔0.2m，宽0.2m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7.6</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震荡减速标线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三条相交道路设置4组震荡线</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124</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可跨越同向车道分界线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标线尺寸：2m实线、间隔4m、宽0.1m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不可跨越同向车道分界线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标线宽0.1m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1.21</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单柱式限速标志</w:t>
            </w:r>
          </w:p>
        </w:tc>
        <w:tc>
          <w:tcPr>
            <w:tcW w:w="4111" w:type="dxa"/>
            <w:vMerge w:val="restart"/>
            <w:tcBorders>
              <w:top w:val="single" w:color="auto" w:sz="4" w:space="0"/>
              <w:left w:val="nil"/>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1、标志板、滑动槽钢均采用LF2-M型铝合金板</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2、立柱采用钢板符合GB700要求，柱顶及横梁端部采用3MM厚钢板焊接封盖</w:t>
            </w:r>
          </w:p>
          <w:p>
            <w:pPr>
              <w:rPr>
                <w:rFonts w:ascii="仿宋_GB2312" w:hAnsi="宋体" w:eastAsia="仿宋_GB2312"/>
                <w:sz w:val="18"/>
                <w:szCs w:val="21"/>
              </w:rPr>
            </w:pPr>
            <w:r>
              <w:rPr>
                <w:rFonts w:hint="eastAsia" w:ascii="仿宋_GB2312" w:hAnsi="宋体" w:eastAsia="仿宋_GB2312"/>
                <w:sz w:val="18"/>
                <w:szCs w:val="21"/>
              </w:rPr>
              <w:t>3、立柱、法兰、抱箍及连接螺栓等钢铁件采用热镀锌。所有立柱均为热镀锌后喷塑，喷塑为上白下蓝，蓝色高度为净空高度的0.618。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4、相见设计图纸参数要求</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单柱式减速让行标志</w:t>
            </w:r>
          </w:p>
        </w:tc>
        <w:tc>
          <w:tcPr>
            <w:tcW w:w="4111" w:type="dxa"/>
            <w:vMerge w:val="continue"/>
            <w:tcBorders>
              <w:left w:val="nil"/>
              <w:right w:val="single" w:color="auto" w:sz="4" w:space="0"/>
            </w:tcBorders>
            <w:shd w:val="clear" w:color="auto" w:fill="auto"/>
            <w:noWrap/>
            <w:vAlign w:val="center"/>
          </w:tcPr>
          <w:p>
            <w:pPr>
              <w:widowControl/>
              <w:jc w:val="left"/>
              <w:textAlignment w:val="center"/>
            </w:pPr>
          </w:p>
        </w:tc>
        <w:tc>
          <w:tcPr>
            <w:tcW w:w="709" w:type="dxa"/>
            <w:tcBorders>
              <w:top w:val="single" w:color="auto" w:sz="4" w:space="0"/>
              <w:left w:val="nil"/>
              <w:bottom w:val="single" w:color="auto" w:sz="4" w:space="0"/>
              <w:right w:val="single" w:color="auto" w:sz="4" w:space="0"/>
            </w:tcBorders>
            <w:shd w:val="clear" w:color="auto" w:fill="auto"/>
            <w:noWrap/>
          </w:tcPr>
          <w:p>
            <w:pPr>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单柱复合式禁止左转+减速让行标志</w:t>
            </w:r>
          </w:p>
        </w:tc>
        <w:tc>
          <w:tcPr>
            <w:tcW w:w="4111" w:type="dxa"/>
            <w:vMerge w:val="continue"/>
            <w:tcBorders>
              <w:left w:val="nil"/>
              <w:right w:val="single" w:color="auto" w:sz="4" w:space="0"/>
            </w:tcBorders>
            <w:shd w:val="clear" w:color="auto" w:fill="auto"/>
            <w:noWrap/>
            <w:vAlign w:val="center"/>
          </w:tcPr>
          <w:p>
            <w:pPr>
              <w:widowControl/>
              <w:jc w:val="left"/>
              <w:textAlignment w:val="center"/>
            </w:pPr>
          </w:p>
        </w:tc>
        <w:tc>
          <w:tcPr>
            <w:tcW w:w="709" w:type="dxa"/>
            <w:tcBorders>
              <w:top w:val="single" w:color="auto" w:sz="4" w:space="0"/>
              <w:left w:val="nil"/>
              <w:bottom w:val="single" w:color="auto" w:sz="4" w:space="0"/>
              <w:right w:val="single" w:color="auto" w:sz="4" w:space="0"/>
            </w:tcBorders>
            <w:shd w:val="clear" w:color="auto" w:fill="auto"/>
            <w:noWrap/>
          </w:tcPr>
          <w:p>
            <w:pPr>
              <w:ind w:firstLine="220" w:firstLineChars="100"/>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单柱式反光镜</w:t>
            </w:r>
          </w:p>
        </w:tc>
        <w:tc>
          <w:tcPr>
            <w:tcW w:w="4111" w:type="dxa"/>
            <w:vMerge w:val="continue"/>
            <w:tcBorders>
              <w:left w:val="nil"/>
              <w:bottom w:val="single" w:color="auto" w:sz="4" w:space="0"/>
              <w:right w:val="single" w:color="auto" w:sz="4" w:space="0"/>
            </w:tcBorders>
            <w:shd w:val="clear" w:color="auto" w:fill="auto"/>
            <w:noWrap/>
            <w:vAlign w:val="center"/>
          </w:tcPr>
          <w:p>
            <w:pPr>
              <w:widowControl/>
              <w:jc w:val="left"/>
              <w:textAlignment w:val="center"/>
            </w:pPr>
          </w:p>
        </w:tc>
        <w:tc>
          <w:tcPr>
            <w:tcW w:w="709" w:type="dxa"/>
            <w:tcBorders>
              <w:top w:val="single" w:color="auto" w:sz="4" w:space="0"/>
              <w:left w:val="nil"/>
              <w:bottom w:val="single" w:color="auto" w:sz="4" w:space="0"/>
              <w:right w:val="single" w:color="auto" w:sz="4" w:space="0"/>
            </w:tcBorders>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橡胶减速垄</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1、规格38cm*50cm*5cm，黄、黑相见</w:t>
            </w:r>
          </w:p>
          <w:p>
            <w:pPr>
              <w:widowControl/>
              <w:jc w:val="left"/>
              <w:textAlignment w:val="center"/>
            </w:pPr>
            <w:r>
              <w:rPr>
                <w:rFonts w:hint="eastAsia" w:ascii="仿宋_GB2312" w:hAnsi="宋体" w:eastAsia="仿宋_GB2312"/>
                <w:sz w:val="18"/>
                <w:szCs w:val="21"/>
              </w:rPr>
              <w:t>2、反光珠直径为10mm的白色透明材质</w:t>
            </w:r>
          </w:p>
        </w:tc>
        <w:tc>
          <w:tcPr>
            <w:tcW w:w="709" w:type="dxa"/>
            <w:tcBorders>
              <w:top w:val="single" w:color="auto" w:sz="4" w:space="0"/>
              <w:left w:val="nil"/>
              <w:bottom w:val="single" w:color="auto" w:sz="4" w:space="0"/>
              <w:right w:val="single" w:color="auto" w:sz="4" w:space="0"/>
            </w:tcBorders>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spacing w:line="360" w:lineRule="auto"/>
        <w:rPr>
          <w:rFonts w:ascii="仿宋_GB2312" w:hAnsi="宋体" w:eastAsia="仿宋_GB2312"/>
          <w:szCs w:val="21"/>
        </w:rPr>
      </w:pPr>
      <w:r>
        <w:rPr>
          <w:rFonts w:hint="eastAsia" w:ascii="仿宋_GB2312" w:hAnsi="宋体" w:eastAsia="仿宋_GB2312"/>
          <w:b/>
          <w:bCs/>
          <w:sz w:val="24"/>
        </w:rPr>
        <w:t>注：注明税点。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本项目采取分段施工作业，在项目部通知每个施工段具备施工条件后2日内进场，沥青摊铺为2天，标线及标志牌施工为3天，每个施工段总工期为5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b/>
          <w:bCs/>
          <w:color w:val="000000"/>
          <w:sz w:val="24"/>
        </w:rPr>
        <w:t>本工程无预付款，考核为本工程施工完毕，提供一套本工程建设资料（含工程检测合格资料，资料一式三份）报至监理及建设单位验收合格后付至已完工程费用的70%，该工程竣工验收后付至95%,余下5%为质量保证金，</w:t>
      </w:r>
      <w:r>
        <w:rPr>
          <w:rFonts w:hint="eastAsia" w:eastAsia="仿宋_GB2312"/>
          <w:color w:val="000000"/>
          <w:sz w:val="24"/>
        </w:rPr>
        <w:t>2</w:t>
      </w:r>
      <w:r>
        <w:rPr>
          <w:rFonts w:hint="eastAsia" w:eastAsia="仿宋_GB2312"/>
          <w:b/>
          <w:bCs/>
          <w:color w:val="000000"/>
          <w:sz w:val="24"/>
        </w:rPr>
        <w:t>年</w:t>
      </w:r>
      <w:r>
        <w:rPr>
          <w:rFonts w:hint="eastAsia" w:eastAsia="仿宋_GB2312"/>
          <w:color w:val="000000"/>
          <w:sz w:val="24"/>
        </w:rPr>
        <w:t>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600" w:firstLineChars="250"/>
        <w:rPr>
          <w:rFonts w:eastAsia="仿宋_GB2312"/>
          <w:color w:val="000000"/>
          <w:sz w:val="24"/>
        </w:rPr>
      </w:pPr>
      <w:r>
        <w:rPr>
          <w:rFonts w:hint="eastAsia" w:eastAsia="仿宋_GB2312"/>
          <w:color w:val="000000"/>
          <w:sz w:val="24"/>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11</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 xml:space="preserve"> 日</w:t>
      </w:r>
      <w:r>
        <w:rPr>
          <w:rFonts w:hint="eastAsia" w:eastAsia="仿宋_GB2312"/>
          <w:sz w:val="24"/>
          <w:lang w:val="en-US" w:eastAsia="zh-CN"/>
        </w:rPr>
        <w:t>上</w:t>
      </w:r>
      <w:r>
        <w:rPr>
          <w:rFonts w:hint="eastAsia" w:eastAsia="仿宋_GB2312"/>
          <w:sz w:val="24"/>
        </w:rPr>
        <w:t xml:space="preserve">午10:00时，登录安徽新集矿山建设工程有限公司网站www.ahxjjg.com领取询价资料进行报名，截止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11</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  9</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上</w:t>
      </w:r>
      <w:r>
        <w:rPr>
          <w:rFonts w:hint="eastAsia" w:eastAsia="仿宋_GB2312"/>
          <w:sz w:val="24"/>
        </w:rPr>
        <w:t>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①施工技术方案；（必备，缺项则报价文件作废。若方案经评审不合格，不再进入商务报价评审，技术文件内必须包含沥青砼面层、标线及盲道施工详细做法）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 xml:space="preserve">（2）报价人详细说明：沥青砼及标线盲道材料等须为优质产品。 </w:t>
      </w:r>
    </w:p>
    <w:p>
      <w:pPr>
        <w:spacing w:line="360" w:lineRule="auto"/>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1、报价人必须在报名日期截止前缴纳报价保证金，保证金柒万元（保证金汇款需备注：</w:t>
      </w:r>
      <w:r>
        <w:rPr>
          <w:rFonts w:hint="eastAsia" w:eastAsia="仿宋_GB2312"/>
          <w:b/>
          <w:bCs/>
          <w:color w:val="000000"/>
          <w:sz w:val="24"/>
        </w:rPr>
        <w:t>潘集经济开发区标准化厂房项目新建沥青道路工程报价保证金</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3、报价文件要求在施工中报价人必须按所提供的材料参数及配合比进行施工。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陈凯伟 电话：13855461663 </w:t>
      </w:r>
    </w:p>
    <w:p>
      <w:pPr>
        <w:spacing w:line="360" w:lineRule="auto"/>
        <w:rPr>
          <w:rFonts w:eastAsia="仿宋_GB2312"/>
          <w:color w:val="000000"/>
          <w:sz w:val="24"/>
        </w:rPr>
      </w:pPr>
    </w:p>
    <w:p>
      <w:pPr>
        <w:rPr>
          <w:rFonts w:eastAsia="仿宋_GB2312"/>
          <w:color w:val="000000"/>
          <w:sz w:val="24"/>
        </w:rPr>
      </w:pPr>
      <w:r>
        <w:rPr>
          <w:rFonts w:eastAsia="仿宋_GB2312"/>
          <w:color w:val="000000"/>
          <w:sz w:val="24"/>
        </w:rPr>
        <w:br w:type="page"/>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b/>
          <w:bCs/>
          <w:color w:val="000000"/>
          <w:sz w:val="32"/>
        </w:rPr>
      </w:pPr>
      <w:r>
        <w:rPr>
          <w:rFonts w:hint="eastAsia" w:eastAsia="仿宋_GB2312"/>
          <w:b/>
          <w:bCs/>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根据已收到潘集经济开发区标准化厂房项目新建沥青道路工程的询价文件，我单位经考察现场和研究上述工程询价文件后，我方报价如下：</w:t>
      </w:r>
    </w:p>
    <w:p>
      <w:pPr>
        <w:spacing w:line="360" w:lineRule="auto"/>
        <w:jc w:val="center"/>
        <w:rPr>
          <w:rFonts w:eastAsia="仿宋_GB2312"/>
          <w:b/>
          <w:bCs/>
          <w:color w:val="000000"/>
          <w:sz w:val="28"/>
          <w:szCs w:val="28"/>
        </w:rPr>
      </w:pPr>
      <w:r>
        <w:rPr>
          <w:rFonts w:hint="eastAsia" w:eastAsia="仿宋_GB2312"/>
          <w:b/>
          <w:bCs/>
          <w:color w:val="000000"/>
          <w:sz w:val="28"/>
          <w:szCs w:val="28"/>
        </w:rPr>
        <w:t>工程报价明细表</w:t>
      </w:r>
    </w:p>
    <w:tbl>
      <w:tblPr>
        <w:tblStyle w:val="4"/>
        <w:tblW w:w="14801" w:type="dxa"/>
        <w:tblInd w:w="93" w:type="dxa"/>
        <w:tblLayout w:type="fixed"/>
        <w:tblCellMar>
          <w:top w:w="0" w:type="dxa"/>
          <w:left w:w="108" w:type="dxa"/>
          <w:bottom w:w="0" w:type="dxa"/>
          <w:right w:w="108" w:type="dxa"/>
        </w:tblCellMar>
      </w:tblPr>
      <w:tblGrid>
        <w:gridCol w:w="441"/>
        <w:gridCol w:w="2551"/>
        <w:gridCol w:w="4111"/>
        <w:gridCol w:w="709"/>
        <w:gridCol w:w="1134"/>
        <w:gridCol w:w="1275"/>
        <w:gridCol w:w="1418"/>
        <w:gridCol w:w="3162"/>
      </w:tblGrid>
      <w:tr>
        <w:tblPrEx>
          <w:tblCellMar>
            <w:top w:w="0" w:type="dxa"/>
            <w:left w:w="108" w:type="dxa"/>
            <w:bottom w:w="0" w:type="dxa"/>
            <w:right w:w="108" w:type="dxa"/>
          </w:tblCellMar>
        </w:tblPrEx>
        <w:trPr>
          <w:trHeight w:val="48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color w:val="000000"/>
                <w:kern w:val="0"/>
                <w:szCs w:val="21"/>
                <w:lang w:bidi="ar"/>
              </w:rPr>
              <w:t>项目名称</w:t>
            </w:r>
          </w:p>
        </w:tc>
        <w:tc>
          <w:tcPr>
            <w:tcW w:w="41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项目特征描述</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4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316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cs="宋体"/>
                <w:color w:val="000000"/>
                <w:kern w:val="0"/>
                <w:sz w:val="22"/>
                <w:szCs w:val="22"/>
              </w:rPr>
            </w:pPr>
            <w:r>
              <w:rPr>
                <w:rFonts w:hint="eastAsia" w:ascii="仿宋_GB2312" w:hAnsi="宋体" w:eastAsia="仿宋_GB2312"/>
                <w:szCs w:val="21"/>
              </w:rPr>
              <w:t>沥青混凝土上面层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1、4cm细粒式沥青混泥土AC-13（C）,施工控制压实度以实验室标准密度为标准密度≥98%;</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vMerge w:val="restart"/>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r>
              <w:rPr>
                <w:rFonts w:hint="eastAsia" w:ascii="宋体" w:hAnsi="宋体" w:cs="宋体"/>
                <w:b/>
                <w:bCs/>
                <w:color w:val="000000"/>
                <w:kern w:val="0"/>
                <w:sz w:val="22"/>
                <w:szCs w:val="22"/>
              </w:rPr>
              <w:t>本表内工程量暂定量，据实结算。</w:t>
            </w:r>
          </w:p>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未尽事项详见设计图纸。</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仿宋_GB2312" w:hAnsi="宋体" w:eastAsia="仿宋_GB2312"/>
                <w:szCs w:val="21"/>
              </w:rPr>
            </w:pPr>
            <w:r>
              <w:rPr>
                <w:rFonts w:hint="eastAsia" w:ascii="仿宋_GB2312" w:hAnsi="宋体" w:eastAsia="仿宋_GB2312"/>
                <w:szCs w:val="21"/>
              </w:rPr>
              <w:t>沥青混凝土下面层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1、6cm中粒式沥青混凝土AC-20（C）, 施工控制压实度以实验室标准密度为标准密度≥97%;</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复合玻纤格栅</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1、无碱玻璃纤维，碱金属氧化物含量不大于0.8%；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2、矩形，孔径宜为其上铺筑的沥青面层材料最大粒径的0.5～1.0倍;</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3、极限抗拉强度≥50KN/m；</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4、极限伸长率≤4%；</w:t>
            </w:r>
          </w:p>
          <w:p>
            <w:pPr>
              <w:pStyle w:val="2"/>
              <w:rPr>
                <w:rFonts w:ascii="仿宋_GB2312" w:hAnsi="宋体" w:eastAsia="仿宋_GB2312"/>
                <w:b w:val="0"/>
                <w:bCs w:val="0"/>
                <w:szCs w:val="21"/>
              </w:rPr>
            </w:pPr>
            <w:r>
              <w:rPr>
                <w:rFonts w:hint="eastAsia" w:ascii="仿宋_GB2312" w:hAnsi="宋体" w:eastAsia="仿宋_GB2312"/>
                <w:b w:val="0"/>
                <w:bCs w:val="0"/>
                <w:sz w:val="18"/>
                <w:szCs w:val="21"/>
              </w:rPr>
              <w:t>5、热老化后断裂强度：经170℃、1h热处理后，其经向和纬向拉伸断裂强度应不小于原强度的90%</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仿宋" w:hAnsi="仿宋" w:eastAsia="仿宋" w:cs="仿宋"/>
                <w:sz w:val="24"/>
              </w:rPr>
              <w:t>防裂贴</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纵横缝处铺自粘式33CM（横缝）宽，50CM（纵缝）宽，厚度2mm，单位质量2.00KG/㎡</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FF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1804.5</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道路</w:t>
            </w:r>
            <w:r>
              <w:rPr>
                <w:rFonts w:hint="eastAsia" w:ascii="宋体" w:hAnsi="宋体" w:cs="宋体"/>
                <w:color w:val="000000"/>
                <w:kern w:val="0"/>
                <w:szCs w:val="21"/>
                <w:lang w:bidi="ar"/>
              </w:rPr>
              <w:t>中心</w:t>
            </w:r>
            <w:r>
              <w:rPr>
                <w:rFonts w:ascii="宋体" w:hAnsi="宋体" w:cs="宋体"/>
                <w:color w:val="000000"/>
                <w:kern w:val="0"/>
                <w:szCs w:val="21"/>
                <w:lang w:bidi="ar"/>
              </w:rPr>
              <w:t>黄色虚线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pPr>
            <w:r>
              <w:rPr>
                <w:rFonts w:ascii="仿宋_GB2312" w:hAnsi="宋体" w:eastAsia="仿宋_GB2312"/>
                <w:sz w:val="18"/>
                <w:szCs w:val="21"/>
              </w:rPr>
              <w:t>标线尺寸：</w:t>
            </w:r>
            <w:r>
              <w:rPr>
                <w:rFonts w:hint="eastAsia" w:ascii="仿宋_GB2312" w:hAnsi="宋体" w:eastAsia="仿宋_GB2312"/>
                <w:sz w:val="18"/>
                <w:szCs w:val="21"/>
              </w:rPr>
              <w:t>4m实线、间隔6m，宽度0.1m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63.5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道路禁停黄色实线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ascii="仿宋_GB2312" w:hAnsi="宋体" w:eastAsia="仿宋_GB2312"/>
                <w:sz w:val="18"/>
                <w:szCs w:val="21"/>
              </w:rPr>
              <w:t>宽度</w:t>
            </w:r>
            <w:r>
              <w:rPr>
                <w:rFonts w:hint="eastAsia" w:ascii="仿宋_GB2312" w:hAnsi="宋体" w:eastAsia="仿宋_GB2312"/>
                <w:sz w:val="18"/>
                <w:szCs w:val="21"/>
              </w:rPr>
              <w:t>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608</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减速让行标线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虚线尺寸：0.6m实线间隔0.2m，宽0.2m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7.6</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震荡减速标线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三条相交道路设置4组震荡线</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124</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可跨越同向车道分界线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标线尺寸：2m实线、间隔4m、宽0.1m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4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不可跨越同向车道分界线</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标线宽0.1m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1.21</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单柱式限速标志</w:t>
            </w:r>
          </w:p>
        </w:tc>
        <w:tc>
          <w:tcPr>
            <w:tcW w:w="4111" w:type="dxa"/>
            <w:vMerge w:val="restart"/>
            <w:tcBorders>
              <w:top w:val="single" w:color="auto" w:sz="4" w:space="0"/>
              <w:left w:val="nil"/>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1、标志板、滑动槽钢均采用LF2-M型铝合金板</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2、立柱采用钢板符合GB700要求，柱顶及横梁端部采用3MM厚钢板焊接封盖</w:t>
            </w:r>
          </w:p>
          <w:p>
            <w:pPr>
              <w:rPr>
                <w:rFonts w:ascii="仿宋_GB2312" w:hAnsi="宋体" w:eastAsia="仿宋_GB2312"/>
                <w:sz w:val="18"/>
                <w:szCs w:val="21"/>
              </w:rPr>
            </w:pPr>
            <w:r>
              <w:rPr>
                <w:rFonts w:hint="eastAsia" w:ascii="仿宋_GB2312" w:hAnsi="宋体" w:eastAsia="仿宋_GB2312"/>
                <w:sz w:val="18"/>
                <w:szCs w:val="21"/>
              </w:rPr>
              <w:t>3、立柱、法兰、抱箍及连接螺栓等钢铁件采用热镀锌。所有立柱均为热镀锌后喷塑，喷塑为上白下蓝，蓝色高度为净空高度的0.618。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4、相见设计图纸参数要求</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单柱式减速让行标志</w:t>
            </w:r>
          </w:p>
        </w:tc>
        <w:tc>
          <w:tcPr>
            <w:tcW w:w="4111" w:type="dxa"/>
            <w:vMerge w:val="continue"/>
            <w:tcBorders>
              <w:left w:val="nil"/>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p>
        </w:tc>
        <w:tc>
          <w:tcPr>
            <w:tcW w:w="709" w:type="dxa"/>
            <w:tcBorders>
              <w:top w:val="single" w:color="auto" w:sz="4" w:space="0"/>
              <w:left w:val="nil"/>
              <w:bottom w:val="single" w:color="auto" w:sz="4" w:space="0"/>
              <w:right w:val="single" w:color="auto" w:sz="4" w:space="0"/>
            </w:tcBorders>
            <w:shd w:val="clear" w:color="auto" w:fill="auto"/>
            <w:noWrap/>
          </w:tcPr>
          <w:p>
            <w:pPr>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单柱复合式禁止左转+减速让行标志</w:t>
            </w:r>
          </w:p>
        </w:tc>
        <w:tc>
          <w:tcPr>
            <w:tcW w:w="4111" w:type="dxa"/>
            <w:vMerge w:val="continue"/>
            <w:tcBorders>
              <w:left w:val="nil"/>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p>
        </w:tc>
        <w:tc>
          <w:tcPr>
            <w:tcW w:w="709" w:type="dxa"/>
            <w:tcBorders>
              <w:top w:val="single" w:color="auto" w:sz="4" w:space="0"/>
              <w:left w:val="nil"/>
              <w:bottom w:val="single" w:color="auto" w:sz="4" w:space="0"/>
              <w:right w:val="single" w:color="auto" w:sz="4" w:space="0"/>
            </w:tcBorders>
            <w:shd w:val="clear" w:color="auto" w:fill="auto"/>
            <w:noWrap/>
          </w:tcPr>
          <w:p>
            <w:pPr>
              <w:ind w:firstLine="220" w:firstLineChars="100"/>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单柱式反光镜</w:t>
            </w:r>
          </w:p>
        </w:tc>
        <w:tc>
          <w:tcPr>
            <w:tcW w:w="4111" w:type="dxa"/>
            <w:vMerge w:val="continue"/>
            <w:tcBorders>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p>
        </w:tc>
        <w:tc>
          <w:tcPr>
            <w:tcW w:w="709" w:type="dxa"/>
            <w:tcBorders>
              <w:top w:val="single" w:color="auto" w:sz="4" w:space="0"/>
              <w:left w:val="nil"/>
              <w:bottom w:val="single" w:color="auto" w:sz="4" w:space="0"/>
              <w:right w:val="single" w:color="auto" w:sz="4" w:space="0"/>
            </w:tcBorders>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7"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2551"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橡胶减速垄</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1、规格38cm*50cm*5cm，黄、黑相见</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2、反光珠直径为10mm的白色透明材质</w:t>
            </w:r>
          </w:p>
        </w:tc>
        <w:tc>
          <w:tcPr>
            <w:tcW w:w="709" w:type="dxa"/>
            <w:tcBorders>
              <w:top w:val="single" w:color="auto" w:sz="4" w:space="0"/>
              <w:left w:val="nil"/>
              <w:bottom w:val="single" w:color="auto" w:sz="4" w:space="0"/>
              <w:right w:val="single" w:color="auto" w:sz="4" w:space="0"/>
            </w:tcBorders>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162" w:type="dxa"/>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613"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最终合计报价总金额（小写）：                              大写：</w:t>
            </w:r>
          </w:p>
        </w:tc>
      </w:tr>
      <w:tr>
        <w:tblPrEx>
          <w:tblCellMar>
            <w:top w:w="0" w:type="dxa"/>
            <w:left w:w="108" w:type="dxa"/>
            <w:bottom w:w="0" w:type="dxa"/>
            <w:right w:w="108" w:type="dxa"/>
          </w:tblCellMar>
        </w:tblPrEx>
        <w:trPr>
          <w:trHeight w:val="851"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报价说明：</w:t>
            </w:r>
          </w:p>
        </w:tc>
      </w:tr>
    </w:tbl>
    <w:p>
      <w:pPr>
        <w:spacing w:line="360" w:lineRule="auto"/>
        <w:rPr>
          <w:rFonts w:ascii="仿宋_GB2312" w:hAnsi="宋体" w:eastAsia="仿宋_GB2312"/>
          <w:szCs w:val="21"/>
        </w:rPr>
      </w:pPr>
      <w:r>
        <w:rPr>
          <w:rFonts w:hint="eastAsia" w:ascii="仿宋_GB2312" w:hAnsi="宋体" w:eastAsia="仿宋_GB2312"/>
          <w:b/>
          <w:bCs/>
          <w:sz w:val="24"/>
        </w:rPr>
        <w:t>注：注明税点。</w:t>
      </w:r>
    </w:p>
    <w:p>
      <w:pPr>
        <w:spacing w:line="360" w:lineRule="auto"/>
        <w:ind w:firstLine="480" w:firstLineChars="200"/>
        <w:rPr>
          <w:rFonts w:eastAsia="仿宋_GB2312"/>
          <w:color w:val="000000"/>
          <w:sz w:val="24"/>
        </w:rPr>
      </w:pP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在每个施工段具备施工条件后2日内进场，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6、如果我方被选定为成交人，我方将按照规定在签订合同前提交柒万元履约保证金或履约保函。如果我方违约，我方同意将履约保证金作为违约金的一部分，你方有权不予返还。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8、我方承诺工期：签订合同后，每个施工段在项目部通知具备施工条件后</w:t>
      </w:r>
      <w:r>
        <w:rPr>
          <w:rFonts w:hint="eastAsia" w:eastAsia="仿宋_GB2312"/>
          <w:b/>
          <w:color w:val="000000"/>
          <w:sz w:val="24"/>
          <w:u w:val="single"/>
        </w:rPr>
        <w:t xml:space="preserve">    </w:t>
      </w:r>
      <w:r>
        <w:rPr>
          <w:rFonts w:hint="eastAsia" w:eastAsia="仿宋_GB2312"/>
          <w:b/>
          <w:color w:val="000000"/>
          <w:sz w:val="24"/>
        </w:rPr>
        <w:t>日内进场施工，沥青摊铺工期</w:t>
      </w:r>
      <w:r>
        <w:rPr>
          <w:rFonts w:hint="eastAsia" w:eastAsia="仿宋_GB2312"/>
          <w:b/>
          <w:color w:val="000000"/>
          <w:sz w:val="24"/>
          <w:u w:val="single"/>
        </w:rPr>
        <w:t xml:space="preserve">     </w:t>
      </w:r>
      <w:r>
        <w:rPr>
          <w:rFonts w:hint="eastAsia" w:eastAsia="仿宋_GB2312"/>
          <w:b/>
          <w:color w:val="000000"/>
          <w:sz w:val="24"/>
        </w:rPr>
        <w:t>天，标线及标牌施工工期</w:t>
      </w:r>
      <w:r>
        <w:rPr>
          <w:rFonts w:hint="eastAsia" w:eastAsia="仿宋_GB2312"/>
          <w:b/>
          <w:color w:val="000000"/>
          <w:sz w:val="24"/>
          <w:u w:val="single"/>
        </w:rPr>
        <w:t xml:space="preserve">     </w:t>
      </w:r>
      <w:r>
        <w:rPr>
          <w:rFonts w:hint="eastAsia" w:eastAsia="仿宋_GB2312"/>
          <w:b/>
          <w:color w:val="000000"/>
          <w:sz w:val="24"/>
        </w:rPr>
        <w:t>天，</w:t>
      </w:r>
      <w:r>
        <w:rPr>
          <w:rFonts w:hint="eastAsia" w:eastAsia="仿宋_GB2312"/>
          <w:b/>
          <w:bCs/>
          <w:color w:val="000000"/>
          <w:sz w:val="24"/>
        </w:rPr>
        <w:t>每个施工段总工期为</w:t>
      </w:r>
      <w:r>
        <w:rPr>
          <w:rFonts w:hint="eastAsia" w:eastAsia="仿宋_GB2312"/>
          <w:b/>
          <w:color w:val="000000"/>
          <w:sz w:val="24"/>
        </w:rPr>
        <w:t xml:space="preserve">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pStyle w:val="2"/>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潘集经济开发区标准化厂房项目新建沥青道路工程</w:t>
      </w:r>
      <w:r>
        <w:rPr>
          <w:rFonts w:hint="eastAsia" w:ascii="微软雅黑" w:hAnsi="微软雅黑" w:eastAsia="微软雅黑" w:cs="宋体"/>
          <w:color w:val="333333"/>
          <w:kern w:val="0"/>
          <w:szCs w:val="21"/>
        </w:rPr>
        <w:t>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宋体" w:hAnsi="宋体"/>
          <w:b/>
          <w:bCs/>
          <w:sz w:val="28"/>
          <w:szCs w:val="28"/>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s>
  <w:rsids>
    <w:rsidRoot w:val="009F5D51"/>
    <w:rsid w:val="000102DC"/>
    <w:rsid w:val="00013849"/>
    <w:rsid w:val="000220CB"/>
    <w:rsid w:val="000221F5"/>
    <w:rsid w:val="000460E2"/>
    <w:rsid w:val="0006287A"/>
    <w:rsid w:val="00064170"/>
    <w:rsid w:val="000814F9"/>
    <w:rsid w:val="00087DF2"/>
    <w:rsid w:val="00093B65"/>
    <w:rsid w:val="00097CFF"/>
    <w:rsid w:val="000B7AD1"/>
    <w:rsid w:val="000B7B4B"/>
    <w:rsid w:val="000D1428"/>
    <w:rsid w:val="000E41AE"/>
    <w:rsid w:val="000F669D"/>
    <w:rsid w:val="00100E87"/>
    <w:rsid w:val="00102E56"/>
    <w:rsid w:val="0013604D"/>
    <w:rsid w:val="0013757F"/>
    <w:rsid w:val="001433C1"/>
    <w:rsid w:val="00145E87"/>
    <w:rsid w:val="00164903"/>
    <w:rsid w:val="00171828"/>
    <w:rsid w:val="001749A9"/>
    <w:rsid w:val="00175FFD"/>
    <w:rsid w:val="001914C3"/>
    <w:rsid w:val="0019204A"/>
    <w:rsid w:val="001A3A40"/>
    <w:rsid w:val="001A7DCF"/>
    <w:rsid w:val="001C52F1"/>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35EB2"/>
    <w:rsid w:val="00242805"/>
    <w:rsid w:val="00252649"/>
    <w:rsid w:val="00257D73"/>
    <w:rsid w:val="00261B82"/>
    <w:rsid w:val="002729BE"/>
    <w:rsid w:val="00275890"/>
    <w:rsid w:val="00295A5A"/>
    <w:rsid w:val="002A02D5"/>
    <w:rsid w:val="002A5ED3"/>
    <w:rsid w:val="002C66B4"/>
    <w:rsid w:val="002E0BF7"/>
    <w:rsid w:val="002F0F8C"/>
    <w:rsid w:val="00305F37"/>
    <w:rsid w:val="00307786"/>
    <w:rsid w:val="00324DA8"/>
    <w:rsid w:val="00332FD0"/>
    <w:rsid w:val="00333CE4"/>
    <w:rsid w:val="003650DE"/>
    <w:rsid w:val="00365E3C"/>
    <w:rsid w:val="00367BF2"/>
    <w:rsid w:val="00384A28"/>
    <w:rsid w:val="00397C9F"/>
    <w:rsid w:val="003A2AE2"/>
    <w:rsid w:val="003B2080"/>
    <w:rsid w:val="003B395D"/>
    <w:rsid w:val="003B7BAB"/>
    <w:rsid w:val="003E20B2"/>
    <w:rsid w:val="004035F4"/>
    <w:rsid w:val="00416F06"/>
    <w:rsid w:val="00430DAA"/>
    <w:rsid w:val="00431F02"/>
    <w:rsid w:val="0044272C"/>
    <w:rsid w:val="00443EEE"/>
    <w:rsid w:val="004534CB"/>
    <w:rsid w:val="00461F19"/>
    <w:rsid w:val="00462631"/>
    <w:rsid w:val="00463362"/>
    <w:rsid w:val="004656CE"/>
    <w:rsid w:val="00467D67"/>
    <w:rsid w:val="00477E77"/>
    <w:rsid w:val="00494208"/>
    <w:rsid w:val="004A5A4C"/>
    <w:rsid w:val="004B63C0"/>
    <w:rsid w:val="004B67E5"/>
    <w:rsid w:val="004B6AFB"/>
    <w:rsid w:val="004B7C68"/>
    <w:rsid w:val="004C543F"/>
    <w:rsid w:val="004D10A4"/>
    <w:rsid w:val="004D3899"/>
    <w:rsid w:val="004E1F44"/>
    <w:rsid w:val="004E3E1D"/>
    <w:rsid w:val="00503688"/>
    <w:rsid w:val="00503F1B"/>
    <w:rsid w:val="00534060"/>
    <w:rsid w:val="00544071"/>
    <w:rsid w:val="0055560E"/>
    <w:rsid w:val="005659D4"/>
    <w:rsid w:val="00574136"/>
    <w:rsid w:val="00575485"/>
    <w:rsid w:val="00575C9F"/>
    <w:rsid w:val="005823A3"/>
    <w:rsid w:val="00592D6E"/>
    <w:rsid w:val="00592E27"/>
    <w:rsid w:val="00592E8A"/>
    <w:rsid w:val="005A4DDB"/>
    <w:rsid w:val="005B42FA"/>
    <w:rsid w:val="005C4E51"/>
    <w:rsid w:val="005C6BB7"/>
    <w:rsid w:val="005E3515"/>
    <w:rsid w:val="005F16FA"/>
    <w:rsid w:val="005F48D9"/>
    <w:rsid w:val="006046D6"/>
    <w:rsid w:val="006248E5"/>
    <w:rsid w:val="00635EFB"/>
    <w:rsid w:val="00650D12"/>
    <w:rsid w:val="006708FF"/>
    <w:rsid w:val="00672DC1"/>
    <w:rsid w:val="00680463"/>
    <w:rsid w:val="0069625F"/>
    <w:rsid w:val="0069773D"/>
    <w:rsid w:val="006A2DF6"/>
    <w:rsid w:val="006A5E24"/>
    <w:rsid w:val="006C1DD2"/>
    <w:rsid w:val="006D24A5"/>
    <w:rsid w:val="006E276F"/>
    <w:rsid w:val="006E581B"/>
    <w:rsid w:val="006E6398"/>
    <w:rsid w:val="006F3286"/>
    <w:rsid w:val="006F3CDA"/>
    <w:rsid w:val="006F66B4"/>
    <w:rsid w:val="006F7E9C"/>
    <w:rsid w:val="0071027B"/>
    <w:rsid w:val="00742618"/>
    <w:rsid w:val="0074373F"/>
    <w:rsid w:val="00751956"/>
    <w:rsid w:val="00765AB7"/>
    <w:rsid w:val="007736E7"/>
    <w:rsid w:val="0077385E"/>
    <w:rsid w:val="00776665"/>
    <w:rsid w:val="007B4B4A"/>
    <w:rsid w:val="007B6D92"/>
    <w:rsid w:val="007D51A6"/>
    <w:rsid w:val="007E2881"/>
    <w:rsid w:val="007E3A47"/>
    <w:rsid w:val="007F3B4D"/>
    <w:rsid w:val="00801C16"/>
    <w:rsid w:val="00803339"/>
    <w:rsid w:val="00807886"/>
    <w:rsid w:val="00816B27"/>
    <w:rsid w:val="0082704C"/>
    <w:rsid w:val="008415DC"/>
    <w:rsid w:val="008459B7"/>
    <w:rsid w:val="0084734A"/>
    <w:rsid w:val="00854BED"/>
    <w:rsid w:val="00854D65"/>
    <w:rsid w:val="00892790"/>
    <w:rsid w:val="00897306"/>
    <w:rsid w:val="008B1258"/>
    <w:rsid w:val="008B13A3"/>
    <w:rsid w:val="008B49F3"/>
    <w:rsid w:val="008B632A"/>
    <w:rsid w:val="008B765D"/>
    <w:rsid w:val="008C7395"/>
    <w:rsid w:val="008D0DE1"/>
    <w:rsid w:val="008D64D7"/>
    <w:rsid w:val="008E0042"/>
    <w:rsid w:val="008E7FA1"/>
    <w:rsid w:val="008F01B5"/>
    <w:rsid w:val="00913811"/>
    <w:rsid w:val="009158B9"/>
    <w:rsid w:val="009208B5"/>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50420"/>
    <w:rsid w:val="00A67BB8"/>
    <w:rsid w:val="00A836D5"/>
    <w:rsid w:val="00AA12B9"/>
    <w:rsid w:val="00AB210D"/>
    <w:rsid w:val="00AC6BDA"/>
    <w:rsid w:val="00AD6853"/>
    <w:rsid w:val="00AE57E3"/>
    <w:rsid w:val="00AF37C3"/>
    <w:rsid w:val="00B00202"/>
    <w:rsid w:val="00B03907"/>
    <w:rsid w:val="00B12687"/>
    <w:rsid w:val="00B129B8"/>
    <w:rsid w:val="00B31A47"/>
    <w:rsid w:val="00B31D1C"/>
    <w:rsid w:val="00B42476"/>
    <w:rsid w:val="00B53226"/>
    <w:rsid w:val="00B54E59"/>
    <w:rsid w:val="00B56E5A"/>
    <w:rsid w:val="00B734E3"/>
    <w:rsid w:val="00B7779F"/>
    <w:rsid w:val="00B93726"/>
    <w:rsid w:val="00BA41B2"/>
    <w:rsid w:val="00BC446A"/>
    <w:rsid w:val="00BC4A2A"/>
    <w:rsid w:val="00BC7DEE"/>
    <w:rsid w:val="00BD52CF"/>
    <w:rsid w:val="00BE621C"/>
    <w:rsid w:val="00BF76AB"/>
    <w:rsid w:val="00C07653"/>
    <w:rsid w:val="00C21B13"/>
    <w:rsid w:val="00C2743F"/>
    <w:rsid w:val="00C367D0"/>
    <w:rsid w:val="00C60B5E"/>
    <w:rsid w:val="00C62345"/>
    <w:rsid w:val="00C827C6"/>
    <w:rsid w:val="00C8426B"/>
    <w:rsid w:val="00C91F3D"/>
    <w:rsid w:val="00CA5CAA"/>
    <w:rsid w:val="00CC5C18"/>
    <w:rsid w:val="00CD5172"/>
    <w:rsid w:val="00CD76A1"/>
    <w:rsid w:val="00CF1015"/>
    <w:rsid w:val="00CF3338"/>
    <w:rsid w:val="00D075CB"/>
    <w:rsid w:val="00D1493D"/>
    <w:rsid w:val="00D17BC2"/>
    <w:rsid w:val="00D22F11"/>
    <w:rsid w:val="00D25659"/>
    <w:rsid w:val="00D337C9"/>
    <w:rsid w:val="00D3488C"/>
    <w:rsid w:val="00D34E3F"/>
    <w:rsid w:val="00D35465"/>
    <w:rsid w:val="00D4135D"/>
    <w:rsid w:val="00D56AF8"/>
    <w:rsid w:val="00D638EF"/>
    <w:rsid w:val="00D70420"/>
    <w:rsid w:val="00D7669B"/>
    <w:rsid w:val="00D80175"/>
    <w:rsid w:val="00D801B9"/>
    <w:rsid w:val="00D84B67"/>
    <w:rsid w:val="00D96A19"/>
    <w:rsid w:val="00DB1BE4"/>
    <w:rsid w:val="00DB2DC0"/>
    <w:rsid w:val="00DB7076"/>
    <w:rsid w:val="00DB7E4F"/>
    <w:rsid w:val="00DD1886"/>
    <w:rsid w:val="00DF2593"/>
    <w:rsid w:val="00DF59BF"/>
    <w:rsid w:val="00DF74EE"/>
    <w:rsid w:val="00E11445"/>
    <w:rsid w:val="00E1368F"/>
    <w:rsid w:val="00E148AB"/>
    <w:rsid w:val="00E2062E"/>
    <w:rsid w:val="00E21200"/>
    <w:rsid w:val="00E22B96"/>
    <w:rsid w:val="00E40470"/>
    <w:rsid w:val="00E501B1"/>
    <w:rsid w:val="00E5071D"/>
    <w:rsid w:val="00E52C0A"/>
    <w:rsid w:val="00E54427"/>
    <w:rsid w:val="00E634F7"/>
    <w:rsid w:val="00E64707"/>
    <w:rsid w:val="00E7417B"/>
    <w:rsid w:val="00E81800"/>
    <w:rsid w:val="00E83FEA"/>
    <w:rsid w:val="00E961A6"/>
    <w:rsid w:val="00EA2601"/>
    <w:rsid w:val="00EB1309"/>
    <w:rsid w:val="00EB5327"/>
    <w:rsid w:val="00EB791A"/>
    <w:rsid w:val="00EC137E"/>
    <w:rsid w:val="00EC5BB8"/>
    <w:rsid w:val="00EC7134"/>
    <w:rsid w:val="00EF3A09"/>
    <w:rsid w:val="00F16670"/>
    <w:rsid w:val="00F22787"/>
    <w:rsid w:val="00F26642"/>
    <w:rsid w:val="00F2754A"/>
    <w:rsid w:val="00F34C77"/>
    <w:rsid w:val="00F36F36"/>
    <w:rsid w:val="00F41DB8"/>
    <w:rsid w:val="00F438DB"/>
    <w:rsid w:val="00F4409A"/>
    <w:rsid w:val="00F61327"/>
    <w:rsid w:val="00F634E5"/>
    <w:rsid w:val="00F645F9"/>
    <w:rsid w:val="00F82068"/>
    <w:rsid w:val="00F869A6"/>
    <w:rsid w:val="00F9408D"/>
    <w:rsid w:val="00FA6A2A"/>
    <w:rsid w:val="00FA6DD1"/>
    <w:rsid w:val="00FA7102"/>
    <w:rsid w:val="00FB29F7"/>
    <w:rsid w:val="00FB3FE1"/>
    <w:rsid w:val="00FC4C11"/>
    <w:rsid w:val="00FC7458"/>
    <w:rsid w:val="00FD3E50"/>
    <w:rsid w:val="00FD68B7"/>
    <w:rsid w:val="00FE1E86"/>
    <w:rsid w:val="06C41812"/>
    <w:rsid w:val="082C0102"/>
    <w:rsid w:val="10232D22"/>
    <w:rsid w:val="11626160"/>
    <w:rsid w:val="170C1041"/>
    <w:rsid w:val="18C9115C"/>
    <w:rsid w:val="2A0A3CCC"/>
    <w:rsid w:val="30376E54"/>
    <w:rsid w:val="33B64781"/>
    <w:rsid w:val="4A6F6A09"/>
    <w:rsid w:val="4EBE3941"/>
    <w:rsid w:val="4F564E54"/>
    <w:rsid w:val="63A1717D"/>
    <w:rsid w:val="657D5FF6"/>
    <w:rsid w:val="6D8E0B8D"/>
    <w:rsid w:val="6EB312C4"/>
    <w:rsid w:val="701766CA"/>
    <w:rsid w:val="7260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1020</Words>
  <Characters>5820</Characters>
  <Lines>48</Lines>
  <Paragraphs>13</Paragraphs>
  <TotalTime>0</TotalTime>
  <ScaleCrop>false</ScaleCrop>
  <LinksUpToDate>false</LinksUpToDate>
  <CharactersWithSpaces>6827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WPS_1562658035</cp:lastModifiedBy>
  <cp:lastPrinted>2023-02-06T09:28:00Z</cp:lastPrinted>
  <dcterms:modified xsi:type="dcterms:W3CDTF">2023-11-01T09:02:15Z</dcterms:modified>
  <cp:revision>1878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9E0582E3EC144EABA5B4A23454D2CE70</vt:lpwstr>
  </property>
</Properties>
</file>