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ajorEastAsia" w:hAnsiTheme="majorEastAsia" w:eastAsiaTheme="majorEastAsia" w:cstheme="majorEastAsia"/>
          <w:b/>
          <w:bCs/>
          <w:szCs w:val="21"/>
        </w:rPr>
      </w:pPr>
    </w:p>
    <w:p>
      <w:pPr>
        <w:tabs>
          <w:tab w:val="left" w:pos="0"/>
        </w:tabs>
        <w:rPr>
          <w:rFonts w:asciiTheme="majorEastAsia" w:hAnsiTheme="majorEastAsia" w:eastAsiaTheme="majorEastAsia" w:cstheme="majorEastAsia"/>
          <w:b/>
          <w:szCs w:val="21"/>
        </w:rPr>
      </w:pPr>
    </w:p>
    <w:p>
      <w:pPr>
        <w:tabs>
          <w:tab w:val="left" w:pos="0"/>
        </w:tabs>
        <w:jc w:val="center"/>
        <w:rPr>
          <w:rFonts w:asciiTheme="majorEastAsia" w:hAnsiTheme="majorEastAsia" w:eastAsiaTheme="majorEastAsia" w:cstheme="majorEastAsia"/>
          <w:b/>
          <w:bCs/>
          <w:sz w:val="48"/>
          <w:szCs w:val="48"/>
        </w:rPr>
      </w:pPr>
      <w:r>
        <w:rPr>
          <w:rFonts w:hint="eastAsia" w:asciiTheme="majorEastAsia" w:hAnsiTheme="majorEastAsia" w:eastAsiaTheme="majorEastAsia" w:cstheme="majorEastAsia"/>
          <w:b/>
          <w:bCs/>
          <w:sz w:val="48"/>
          <w:szCs w:val="48"/>
        </w:rPr>
        <w:t>安徽新集矿山建设工程有限公司</w:t>
      </w: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jc w:val="center"/>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b/>
          <w:bCs/>
          <w:sz w:val="32"/>
          <w:szCs w:val="32"/>
          <w:lang w:eastAsia="zh-CN"/>
        </w:rPr>
        <w:t>淮南市能源数据中心及数字经济万创园</w:t>
      </w:r>
      <w:r>
        <w:rPr>
          <w:rFonts w:hint="eastAsia" w:asciiTheme="majorEastAsia" w:hAnsiTheme="majorEastAsia" w:eastAsiaTheme="majorEastAsia" w:cstheme="majorEastAsia"/>
          <w:b/>
          <w:bCs/>
          <w:sz w:val="32"/>
          <w:szCs w:val="32"/>
          <w:lang w:val="en-US" w:eastAsia="zh-CN"/>
        </w:rPr>
        <w:t>-7#楼楼梯栏杆等</w:t>
      </w:r>
      <w:r>
        <w:rPr>
          <w:rFonts w:hint="eastAsia" w:asciiTheme="majorEastAsia" w:hAnsiTheme="majorEastAsia" w:eastAsiaTheme="majorEastAsia" w:cstheme="majorEastAsia"/>
          <w:b/>
          <w:sz w:val="32"/>
          <w:szCs w:val="32"/>
          <w:lang w:eastAsia="zh-CN"/>
        </w:rPr>
        <w:t>护栏工程</w:t>
      </w:r>
      <w:r>
        <w:rPr>
          <w:rFonts w:hint="eastAsia" w:asciiTheme="majorEastAsia" w:hAnsiTheme="majorEastAsia" w:eastAsiaTheme="majorEastAsia" w:cstheme="majorEastAsia"/>
          <w:b/>
          <w:sz w:val="32"/>
          <w:szCs w:val="32"/>
        </w:rPr>
        <w:t>询价文件</w:t>
      </w:r>
    </w:p>
    <w:p>
      <w:pPr>
        <w:spacing w:line="360" w:lineRule="auto"/>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spacing w:line="360" w:lineRule="auto"/>
        <w:ind w:left="3213" w:leftChars="459" w:hanging="2249" w:hangingChars="70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询价单位：安徽新集矿山建设工程有限公司</w:t>
      </w:r>
    </w:p>
    <w:p>
      <w:pPr>
        <w:jc w:val="center"/>
        <w:rPr>
          <w:rFonts w:hint="default" w:asciiTheme="majorEastAsia" w:hAnsiTheme="majorEastAsia" w:eastAsiaTheme="majorEastAsia" w:cstheme="majorEastAsia"/>
          <w:szCs w:val="21"/>
          <w:lang w:val="en-US"/>
        </w:rPr>
      </w:pPr>
      <w:r>
        <w:rPr>
          <w:rFonts w:hint="eastAsia" w:asciiTheme="majorEastAsia" w:hAnsiTheme="majorEastAsia" w:eastAsiaTheme="majorEastAsia" w:cstheme="majorEastAsia"/>
          <w:color w:val="FF0000"/>
          <w:sz w:val="32"/>
          <w:szCs w:val="32"/>
          <w:lang w:val="en-US" w:eastAsia="zh-CN"/>
        </w:rPr>
        <w:t>2023年9月7日</w:t>
      </w:r>
    </w:p>
    <w:p>
      <w:pPr>
        <w:rPr>
          <w:rFonts w:asciiTheme="majorEastAsia" w:hAnsiTheme="majorEastAsia" w:eastAsiaTheme="majorEastAsia" w:cstheme="majorEastAsia"/>
          <w:szCs w:val="21"/>
        </w:rPr>
      </w:pPr>
    </w:p>
    <w:p>
      <w:pPr>
        <w:rPr>
          <w:rFonts w:asciiTheme="majorEastAsia" w:hAnsiTheme="majorEastAsia" w:eastAsiaTheme="majorEastAsia" w:cstheme="majorEastAsia"/>
          <w:szCs w:val="21"/>
        </w:rPr>
      </w:pPr>
    </w:p>
    <w:p>
      <w:pPr>
        <w:rPr>
          <w:rFonts w:asciiTheme="majorEastAsia" w:hAnsiTheme="majorEastAsia" w:eastAsiaTheme="majorEastAsia" w:cstheme="majorEastAsia"/>
          <w:szCs w:val="21"/>
        </w:rPr>
      </w:pPr>
    </w:p>
    <w:p>
      <w:pPr>
        <w:tabs>
          <w:tab w:val="left" w:pos="555"/>
        </w:tabs>
        <w:spacing w:line="360" w:lineRule="auto"/>
        <w:ind w:firstLine="420" w:firstLineChars="200"/>
        <w:textAlignment w:val="baseline"/>
        <w:rPr>
          <w:rFonts w:hint="eastAsia" w:ascii="宋体" w:hAnsi="宋体" w:eastAsia="宋体" w:cs="宋体"/>
          <w:sz w:val="21"/>
          <w:szCs w:val="21"/>
          <w:highlight w:val="none"/>
          <w:lang w:val="en-US" w:eastAsia="zh-CN"/>
        </w:rPr>
      </w:pPr>
      <w:r>
        <w:rPr>
          <w:rFonts w:hint="eastAsia" w:ascii="宋体" w:hAnsi="宋体" w:eastAsia="宋体" w:cs="宋体"/>
          <w:color w:val="0000FF"/>
          <w:sz w:val="21"/>
          <w:szCs w:val="21"/>
          <w:highlight w:val="none"/>
        </w:rPr>
        <w:t>本次上网公布的是公开报名，</w:t>
      </w:r>
      <w:r>
        <w:rPr>
          <w:rFonts w:hint="eastAsia" w:ascii="宋体" w:hAnsi="宋体" w:eastAsia="宋体" w:cs="宋体"/>
          <w:sz w:val="21"/>
          <w:szCs w:val="21"/>
          <w:highlight w:val="none"/>
        </w:rPr>
        <w:t>有报价意向的企业需</w:t>
      </w:r>
      <w:r>
        <w:rPr>
          <w:rFonts w:hint="eastAsia" w:ascii="宋体" w:hAnsi="宋体" w:eastAsia="宋体" w:cs="宋体"/>
          <w:sz w:val="21"/>
          <w:szCs w:val="21"/>
          <w:highlight w:val="none"/>
          <w:lang w:val="en-US" w:eastAsia="zh-CN"/>
        </w:rPr>
        <w:t>具有履行合同所必须的设备和专业技术能力，具有良好的商业信誉和健全的财务制度。</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为保质按期完成</w:t>
      </w:r>
      <w:r>
        <w:rPr>
          <w:rFonts w:hint="eastAsia" w:asciiTheme="majorEastAsia" w:hAnsiTheme="majorEastAsia" w:eastAsiaTheme="majorEastAsia" w:cstheme="majorEastAsia"/>
          <w:szCs w:val="21"/>
          <w:lang w:eastAsia="zh-CN"/>
        </w:rPr>
        <w:t>淮南市能源数据中心及数字经济万创园</w:t>
      </w:r>
      <w:r>
        <w:rPr>
          <w:rFonts w:hint="eastAsia" w:asciiTheme="majorEastAsia" w:hAnsiTheme="majorEastAsia" w:eastAsiaTheme="majorEastAsia" w:cstheme="majorEastAsia"/>
          <w:szCs w:val="21"/>
          <w:lang w:val="en-US" w:eastAsia="zh-CN"/>
        </w:rPr>
        <w:t>-7#楼楼梯栏杆等</w:t>
      </w:r>
      <w:r>
        <w:rPr>
          <w:rFonts w:hint="eastAsia" w:asciiTheme="majorEastAsia" w:hAnsiTheme="majorEastAsia" w:eastAsiaTheme="majorEastAsia" w:cstheme="majorEastAsia"/>
          <w:szCs w:val="21"/>
          <w:lang w:eastAsia="zh-CN"/>
        </w:rPr>
        <w:t>护栏工程</w:t>
      </w:r>
      <w:r>
        <w:rPr>
          <w:rFonts w:hint="eastAsia" w:asciiTheme="majorEastAsia" w:hAnsiTheme="majorEastAsia" w:eastAsiaTheme="majorEastAsia" w:cstheme="majorEastAsia"/>
          <w:szCs w:val="21"/>
        </w:rPr>
        <w:t>项目，总包人决定对</w:t>
      </w:r>
      <w:r>
        <w:rPr>
          <w:rFonts w:hint="eastAsia" w:asciiTheme="majorEastAsia" w:hAnsiTheme="majorEastAsia" w:eastAsiaTheme="majorEastAsia" w:cstheme="majorEastAsia"/>
          <w:szCs w:val="21"/>
          <w:lang w:eastAsia="zh-CN"/>
        </w:rPr>
        <w:t>楼梯栏杆等护栏</w:t>
      </w:r>
      <w:r>
        <w:rPr>
          <w:rFonts w:hint="eastAsia" w:asciiTheme="majorEastAsia" w:hAnsiTheme="majorEastAsia" w:eastAsiaTheme="majorEastAsia" w:cstheme="majorEastAsia"/>
          <w:szCs w:val="21"/>
        </w:rPr>
        <w:t>工程施工采取市场询价，择优选择专业施工分包单位。本询价文件是各参与响应询价响应人编制响应的依据，也是今后总包人与分包人签订分包合同的依据。</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一、工程综合说明</w:t>
      </w:r>
    </w:p>
    <w:p>
      <w:pPr>
        <w:adjustRightInd w:val="0"/>
        <w:snapToGrid w:val="0"/>
        <w:spacing w:line="360" w:lineRule="auto"/>
        <w:ind w:left="1949" w:leftChars="228" w:right="420" w:rightChars="200" w:hanging="1470" w:hangingChars="700"/>
        <w:jc w:val="left"/>
        <w:rPr>
          <w:rFonts w:hint="eastAsia" w:asciiTheme="majorEastAsia" w:hAnsiTheme="majorEastAsia" w:eastAsiaTheme="majorEastAsia" w:cstheme="majorEastAsia"/>
          <w:szCs w:val="21"/>
          <w:lang w:eastAsia="zh-CN"/>
        </w:rPr>
      </w:pPr>
      <w:r>
        <w:rPr>
          <w:rFonts w:hint="eastAsia" w:asciiTheme="majorEastAsia" w:hAnsiTheme="majorEastAsia" w:eastAsiaTheme="majorEastAsia" w:cstheme="majorEastAsia"/>
          <w:szCs w:val="21"/>
        </w:rPr>
        <w:t>1、工程名称：</w:t>
      </w:r>
      <w:r>
        <w:rPr>
          <w:rFonts w:hint="eastAsia" w:asciiTheme="majorEastAsia" w:hAnsiTheme="majorEastAsia" w:eastAsiaTheme="majorEastAsia" w:cstheme="majorEastAsia"/>
          <w:szCs w:val="21"/>
          <w:lang w:eastAsia="zh-CN"/>
        </w:rPr>
        <w:t>淮南市能源数据中心及数字经济万创园</w:t>
      </w:r>
      <w:r>
        <w:rPr>
          <w:rFonts w:hint="eastAsia" w:asciiTheme="majorEastAsia" w:hAnsiTheme="majorEastAsia" w:eastAsiaTheme="majorEastAsia" w:cstheme="majorEastAsia"/>
          <w:szCs w:val="21"/>
          <w:lang w:val="en-US" w:eastAsia="zh-CN"/>
        </w:rPr>
        <w:t>-7#楼楼梯栏杆等</w:t>
      </w:r>
      <w:r>
        <w:rPr>
          <w:rFonts w:hint="eastAsia" w:asciiTheme="majorEastAsia" w:hAnsiTheme="majorEastAsia" w:eastAsiaTheme="majorEastAsia" w:cstheme="majorEastAsia"/>
          <w:szCs w:val="21"/>
          <w:lang w:eastAsia="zh-CN"/>
        </w:rPr>
        <w:t>护栏工程</w:t>
      </w:r>
    </w:p>
    <w:p>
      <w:pPr>
        <w:adjustRightInd w:val="0"/>
        <w:snapToGrid w:val="0"/>
        <w:spacing w:line="360" w:lineRule="auto"/>
        <w:ind w:left="210" w:leftChars="100" w:right="420" w:rightChars="200" w:firstLine="210" w:firstLineChars="1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2、工程地点：该工程位于淮南市山南高新区智慧谷</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3、总承单位：安徽新集矿山建设工程有限公司</w:t>
      </w:r>
    </w:p>
    <w:p>
      <w:pPr>
        <w:adjustRightInd w:val="0"/>
        <w:snapToGrid w:val="0"/>
        <w:spacing w:line="360" w:lineRule="auto"/>
        <w:ind w:right="420" w:rightChars="200" w:firstLine="420" w:firstLineChars="200"/>
        <w:rPr>
          <w:rFonts w:hint="default"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rPr>
        <w:t>4、工程概况：</w:t>
      </w:r>
      <w:r>
        <w:rPr>
          <w:rFonts w:hint="eastAsia" w:asciiTheme="majorEastAsia" w:hAnsiTheme="majorEastAsia" w:eastAsiaTheme="majorEastAsia" w:cstheme="majorEastAsia"/>
          <w:szCs w:val="21"/>
          <w:lang w:eastAsia="zh-CN"/>
        </w:rPr>
        <w:t>淮南市能源数据中心及数字经济万创园</w:t>
      </w:r>
      <w:r>
        <w:rPr>
          <w:rFonts w:hint="eastAsia" w:asciiTheme="majorEastAsia" w:hAnsiTheme="majorEastAsia" w:eastAsiaTheme="majorEastAsia" w:cstheme="majorEastAsia"/>
          <w:szCs w:val="21"/>
          <w:lang w:val="en-US" w:eastAsia="zh-CN"/>
        </w:rPr>
        <w:t>-7#楼楼梯栏杆、玻璃栏杆、护窗栏杆、无障碍扶手工程施工</w:t>
      </w:r>
    </w:p>
    <w:p>
      <w:pPr>
        <w:spacing w:line="360" w:lineRule="auto"/>
        <w:ind w:firstLine="315" w:firstLineChars="15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相关施工要求：</w:t>
      </w:r>
    </w:p>
    <w:p>
      <w:pPr>
        <w:spacing w:line="360" w:lineRule="auto"/>
        <w:ind w:firstLine="420" w:firstLineChars="20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szCs w:val="21"/>
        </w:rPr>
        <w:t>1、本工程遵循</w:t>
      </w:r>
      <w:r>
        <w:rPr>
          <w:rFonts w:hint="eastAsia" w:asciiTheme="majorEastAsia" w:hAnsiTheme="majorEastAsia" w:eastAsiaTheme="majorEastAsia" w:cstheme="majorEastAsia"/>
          <w:color w:val="000000"/>
          <w:szCs w:val="21"/>
        </w:rPr>
        <w:t>图纸、询价文件、答疑、图集、政府相关文件及规范等其他资料。</w:t>
      </w:r>
    </w:p>
    <w:p>
      <w:pPr>
        <w:spacing w:line="360" w:lineRule="auto"/>
        <w:ind w:firstLine="420" w:firstLineChars="200"/>
        <w:rPr>
          <w:rFonts w:hint="eastAsia" w:asciiTheme="majorEastAsia" w:hAnsiTheme="majorEastAsia" w:eastAsiaTheme="majorEastAsia" w:cstheme="majorEastAsia"/>
          <w:color w:val="000000"/>
          <w:szCs w:val="21"/>
          <w:lang w:eastAsia="zh-CN"/>
        </w:rPr>
      </w:pPr>
      <w:r>
        <w:rPr>
          <w:rFonts w:hint="eastAsia" w:asciiTheme="majorEastAsia" w:hAnsiTheme="majorEastAsia" w:eastAsiaTheme="majorEastAsia" w:cstheme="majorEastAsia"/>
          <w:color w:val="000000"/>
          <w:szCs w:val="21"/>
        </w:rPr>
        <w:t>2、询价方式:</w:t>
      </w:r>
      <w:r>
        <w:rPr>
          <w:rFonts w:hint="eastAsia" w:asciiTheme="majorEastAsia" w:hAnsiTheme="majorEastAsia" w:eastAsiaTheme="majorEastAsia" w:cstheme="majorEastAsia"/>
          <w:color w:val="000000"/>
          <w:szCs w:val="21"/>
          <w:lang w:eastAsia="zh-CN"/>
        </w:rPr>
        <w:t>综合单价</w:t>
      </w:r>
    </w:p>
    <w:p>
      <w:pPr>
        <w:spacing w:line="360" w:lineRule="auto"/>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二、工程内容及施工范围</w:t>
      </w:r>
    </w:p>
    <w:p>
      <w:pPr>
        <w:spacing w:line="360" w:lineRule="auto"/>
        <w:ind w:firstLine="315" w:firstLineChars="15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1、承包方式：</w:t>
      </w:r>
    </w:p>
    <w:p>
      <w:pPr>
        <w:spacing w:line="360" w:lineRule="auto"/>
        <w:ind w:firstLine="315" w:firstLineChars="150"/>
        <w:rPr>
          <w:rFonts w:hint="eastAsia" w:asciiTheme="majorEastAsia" w:hAnsiTheme="majorEastAsia" w:eastAsiaTheme="majorEastAsia" w:cstheme="majorEastAsia"/>
          <w:color w:val="000000"/>
          <w:szCs w:val="21"/>
          <w:lang w:eastAsia="zh-CN"/>
        </w:rPr>
      </w:pPr>
      <w:r>
        <w:rPr>
          <w:rFonts w:hint="eastAsia" w:asciiTheme="majorEastAsia" w:hAnsiTheme="majorEastAsia" w:eastAsiaTheme="majorEastAsia" w:cstheme="majorEastAsia"/>
          <w:color w:val="000000"/>
          <w:szCs w:val="21"/>
        </w:rPr>
        <w:t>包工、包料、包工期、包质量、包安全、包文明施工、包原材料及成品试验资料齐全验收合格</w:t>
      </w:r>
      <w:r>
        <w:rPr>
          <w:rFonts w:hint="eastAsia" w:asciiTheme="majorEastAsia" w:hAnsiTheme="majorEastAsia" w:eastAsiaTheme="majorEastAsia" w:cstheme="majorEastAsia"/>
          <w:color w:val="000000"/>
          <w:szCs w:val="21"/>
          <w:lang w:eastAsia="zh-CN"/>
        </w:rPr>
        <w:t>。</w:t>
      </w:r>
    </w:p>
    <w:p>
      <w:pPr>
        <w:spacing w:line="360" w:lineRule="auto"/>
        <w:ind w:firstLine="315" w:firstLineChars="15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2、本次询价施工范围及相关要求：</w:t>
      </w:r>
    </w:p>
    <w:p>
      <w:pPr>
        <w:adjustRightInd w:val="0"/>
        <w:snapToGrid w:val="0"/>
        <w:spacing w:line="360" w:lineRule="auto"/>
        <w:ind w:right="420" w:rightChars="200" w:firstLine="420" w:firstLineChars="200"/>
        <w:rPr>
          <w:rFonts w:asciiTheme="majorEastAsia" w:hAnsiTheme="majorEastAsia" w:eastAsiaTheme="majorEastAsia" w:cstheme="majorEastAsia"/>
          <w:color w:val="000000"/>
          <w:szCs w:val="21"/>
          <w:lang w:val="zh-CN"/>
        </w:rPr>
      </w:pPr>
      <w:r>
        <w:rPr>
          <w:rFonts w:hint="eastAsia" w:asciiTheme="majorEastAsia" w:hAnsiTheme="majorEastAsia" w:eastAsiaTheme="majorEastAsia" w:cstheme="majorEastAsia"/>
          <w:color w:val="000000"/>
          <w:szCs w:val="21"/>
          <w:lang w:val="zh-CN"/>
        </w:rPr>
        <w:t>1）、施工范围为</w:t>
      </w:r>
      <w:r>
        <w:rPr>
          <w:rFonts w:hint="eastAsia" w:asciiTheme="majorEastAsia" w:hAnsiTheme="majorEastAsia" w:eastAsiaTheme="majorEastAsia" w:cstheme="majorEastAsia"/>
          <w:szCs w:val="21"/>
          <w:lang w:eastAsia="zh-CN"/>
        </w:rPr>
        <w:t>淮南市能源数据中心及数字经济万创园</w:t>
      </w:r>
      <w:r>
        <w:rPr>
          <w:rFonts w:hint="eastAsia" w:asciiTheme="majorEastAsia" w:hAnsiTheme="majorEastAsia" w:eastAsiaTheme="majorEastAsia" w:cstheme="majorEastAsia"/>
          <w:szCs w:val="21"/>
          <w:lang w:val="en-US" w:eastAsia="zh-CN"/>
        </w:rPr>
        <w:t>-7#楼</w:t>
      </w:r>
      <w:r>
        <w:rPr>
          <w:rFonts w:hint="eastAsia" w:asciiTheme="majorEastAsia" w:hAnsiTheme="majorEastAsia" w:eastAsiaTheme="majorEastAsia" w:cstheme="majorEastAsia"/>
          <w:szCs w:val="21"/>
          <w:lang w:eastAsia="zh-CN"/>
        </w:rPr>
        <w:t>，</w:t>
      </w:r>
      <w:r>
        <w:rPr>
          <w:rFonts w:hint="eastAsia" w:asciiTheme="majorEastAsia" w:hAnsiTheme="majorEastAsia" w:eastAsiaTheme="majorEastAsia" w:cstheme="majorEastAsia"/>
          <w:color w:val="000000"/>
          <w:szCs w:val="21"/>
          <w:lang w:val="zh-CN"/>
        </w:rPr>
        <w:t>施工做法以图纸及验收规范为准；</w:t>
      </w:r>
    </w:p>
    <w:p>
      <w:pPr>
        <w:spacing w:line="360" w:lineRule="auto"/>
        <w:ind w:firstLine="420" w:firstLineChars="200"/>
        <w:rPr>
          <w:rFonts w:asciiTheme="majorEastAsia" w:hAnsiTheme="majorEastAsia" w:eastAsiaTheme="majorEastAsia" w:cstheme="majorEastAsia"/>
          <w:color w:val="000000"/>
          <w:szCs w:val="21"/>
          <w:lang w:val="zh-CN"/>
        </w:rPr>
      </w:pPr>
      <w:r>
        <w:rPr>
          <w:rFonts w:hint="eastAsia" w:asciiTheme="majorEastAsia" w:hAnsiTheme="majorEastAsia" w:eastAsiaTheme="majorEastAsia" w:cstheme="majorEastAsia"/>
          <w:color w:val="000000"/>
          <w:szCs w:val="21"/>
        </w:rPr>
        <w:t>2）</w:t>
      </w:r>
      <w:r>
        <w:rPr>
          <w:rFonts w:hint="eastAsia" w:asciiTheme="majorEastAsia" w:hAnsiTheme="majorEastAsia" w:eastAsiaTheme="majorEastAsia" w:cstheme="majorEastAsia"/>
          <w:color w:val="000000"/>
          <w:szCs w:val="21"/>
          <w:lang w:val="zh-CN"/>
        </w:rPr>
        <w:t>、现场不提供报价方人员食宿，本询价施工工程为包工包</w:t>
      </w:r>
      <w:r>
        <w:rPr>
          <w:rFonts w:hint="eastAsia" w:asciiTheme="majorEastAsia" w:hAnsiTheme="majorEastAsia" w:eastAsiaTheme="majorEastAsia" w:cstheme="majorEastAsia"/>
          <w:color w:val="000000"/>
          <w:szCs w:val="21"/>
          <w:lang w:val="zh-CN" w:eastAsia="zh-CN"/>
        </w:rPr>
        <w:t>料</w:t>
      </w:r>
      <w:r>
        <w:rPr>
          <w:rFonts w:hint="eastAsia" w:asciiTheme="majorEastAsia" w:hAnsiTheme="majorEastAsia" w:eastAsiaTheme="majorEastAsia" w:cstheme="majorEastAsia"/>
          <w:color w:val="000000"/>
          <w:szCs w:val="21"/>
          <w:lang w:val="zh-CN"/>
        </w:rPr>
        <w:t>，现场所用的所有辅材、运输设备、周转材料及小型工具、材料看护、安全文明施工均由报价方自理。</w:t>
      </w:r>
    </w:p>
    <w:p>
      <w:pPr>
        <w:spacing w:line="400" w:lineRule="exact"/>
        <w:ind w:firstLine="480"/>
        <w:rPr>
          <w:rFonts w:ascii="宋体" w:hAnsi="宋体"/>
          <w:szCs w:val="21"/>
        </w:rPr>
      </w:pPr>
      <w:r>
        <w:rPr>
          <w:rFonts w:hint="eastAsia" w:ascii="宋体" w:hAnsi="宋体"/>
          <w:szCs w:val="21"/>
        </w:rPr>
        <w:t>3）、负责施工范围所需完成的全部作业工序和配合工序完成的一切相关工作。</w:t>
      </w:r>
    </w:p>
    <w:p>
      <w:pPr>
        <w:spacing w:line="400" w:lineRule="exact"/>
        <w:ind w:firstLine="480"/>
        <w:rPr>
          <w:rFonts w:ascii="宋体" w:hAnsi="宋体"/>
          <w:szCs w:val="21"/>
        </w:rPr>
      </w:pPr>
      <w:r>
        <w:rPr>
          <w:rFonts w:hint="eastAsia" w:ascii="宋体" w:hAnsi="宋体"/>
          <w:sz w:val="22"/>
          <w:szCs w:val="22"/>
          <w:lang w:val="en-US" w:eastAsia="zh-CN"/>
        </w:rPr>
        <w:t>4</w:t>
      </w:r>
      <w:r>
        <w:rPr>
          <w:rFonts w:hint="eastAsia" w:ascii="宋体" w:hAnsi="宋体"/>
          <w:sz w:val="22"/>
          <w:szCs w:val="22"/>
        </w:rPr>
        <w:t>）、</w:t>
      </w:r>
      <w:r>
        <w:rPr>
          <w:rFonts w:hint="eastAsia" w:ascii="宋体" w:hAnsi="宋体"/>
          <w:szCs w:val="21"/>
        </w:rPr>
        <w:t>负责自身施工区域范围内的材料、倒运、堆放，场容场貌管理。</w:t>
      </w:r>
    </w:p>
    <w:p>
      <w:pPr>
        <w:spacing w:line="400" w:lineRule="exact"/>
        <w:ind w:firstLine="480"/>
        <w:rPr>
          <w:rFonts w:ascii="宋体" w:hAnsi="宋体"/>
          <w:bCs/>
          <w:sz w:val="22"/>
          <w:szCs w:val="22"/>
        </w:rPr>
      </w:pPr>
      <w:r>
        <w:rPr>
          <w:rFonts w:hint="eastAsia" w:ascii="宋体" w:hAnsi="宋体"/>
          <w:bCs/>
          <w:sz w:val="22"/>
          <w:szCs w:val="22"/>
        </w:rPr>
        <w:t>3、文明施工要求：</w:t>
      </w:r>
    </w:p>
    <w:p>
      <w:pPr>
        <w:spacing w:line="400" w:lineRule="exact"/>
        <w:ind w:firstLine="480"/>
        <w:rPr>
          <w:rFonts w:ascii="宋体" w:hAnsi="宋体"/>
          <w:sz w:val="22"/>
          <w:szCs w:val="22"/>
        </w:rPr>
      </w:pPr>
      <w:r>
        <w:rPr>
          <w:rFonts w:hint="eastAsia" w:ascii="宋体" w:hAnsi="宋体"/>
          <w:sz w:val="22"/>
          <w:szCs w:val="22"/>
          <w:lang w:val="en-US" w:eastAsia="zh-CN"/>
        </w:rPr>
        <w:t>1</w:t>
      </w:r>
      <w:r>
        <w:rPr>
          <w:rFonts w:hint="eastAsia" w:ascii="宋体" w:hAnsi="宋体"/>
          <w:sz w:val="22"/>
          <w:szCs w:val="22"/>
        </w:rPr>
        <w:t>）、报价方施工人员的劳保用品均由报价方自行负责购买。</w:t>
      </w:r>
    </w:p>
    <w:p>
      <w:pPr>
        <w:spacing w:line="400" w:lineRule="exact"/>
        <w:ind w:firstLine="480"/>
        <w:rPr>
          <w:rFonts w:ascii="宋体" w:hAnsi="宋体"/>
          <w:sz w:val="22"/>
          <w:szCs w:val="22"/>
        </w:rPr>
      </w:pPr>
      <w:r>
        <w:rPr>
          <w:rFonts w:hint="eastAsia" w:ascii="宋体" w:hAnsi="宋体"/>
          <w:sz w:val="22"/>
          <w:szCs w:val="22"/>
          <w:lang w:val="en-US" w:eastAsia="zh-CN"/>
        </w:rPr>
        <w:t>2</w:t>
      </w:r>
      <w:r>
        <w:rPr>
          <w:rFonts w:hint="eastAsia" w:ascii="宋体" w:hAnsi="宋体"/>
          <w:sz w:val="22"/>
          <w:szCs w:val="22"/>
        </w:rPr>
        <w:t>）、施工现场机具设备、各类材料按文明施工要求摆放整齐。</w:t>
      </w:r>
    </w:p>
    <w:p>
      <w:pPr>
        <w:spacing w:line="400" w:lineRule="exact"/>
        <w:ind w:firstLine="480"/>
        <w:rPr>
          <w:rFonts w:ascii="宋体" w:hAnsi="宋体"/>
          <w:sz w:val="22"/>
          <w:szCs w:val="22"/>
        </w:rPr>
      </w:pPr>
      <w:r>
        <w:rPr>
          <w:rFonts w:hint="eastAsia" w:ascii="宋体" w:hAnsi="宋体"/>
          <w:sz w:val="22"/>
          <w:szCs w:val="22"/>
          <w:lang w:val="en-US" w:eastAsia="zh-CN"/>
        </w:rPr>
        <w:t>3</w:t>
      </w:r>
      <w:r>
        <w:rPr>
          <w:rFonts w:hint="eastAsia" w:ascii="宋体" w:hAnsi="宋体"/>
          <w:sz w:val="22"/>
          <w:szCs w:val="22"/>
        </w:rPr>
        <w:t>）、施工现场场容场貌管理；</w:t>
      </w:r>
    </w:p>
    <w:p>
      <w:pPr>
        <w:spacing w:line="400" w:lineRule="exact"/>
        <w:ind w:firstLine="440" w:firstLineChars="200"/>
        <w:rPr>
          <w:rFonts w:ascii="宋体" w:hAnsi="宋体"/>
          <w:sz w:val="22"/>
          <w:szCs w:val="22"/>
        </w:rPr>
      </w:pPr>
      <w:r>
        <w:rPr>
          <w:rFonts w:hint="eastAsia" w:ascii="宋体" w:hAnsi="宋体"/>
          <w:sz w:val="22"/>
          <w:szCs w:val="22"/>
          <w:lang w:val="en-US" w:eastAsia="zh-CN"/>
        </w:rPr>
        <w:t>4</w:t>
      </w:r>
      <w:r>
        <w:rPr>
          <w:rFonts w:hint="eastAsia" w:ascii="宋体" w:hAnsi="宋体"/>
          <w:sz w:val="22"/>
          <w:szCs w:val="22"/>
        </w:rPr>
        <w:t>）、报价方应在施工过程中对严把质量关，严格控制各道工序施工质量，各工序施工完成后先自检，自检合格后报项目部验收，验收合格后方可进行下道工序。</w:t>
      </w:r>
    </w:p>
    <w:p>
      <w:pPr>
        <w:spacing w:line="400" w:lineRule="exact"/>
        <w:ind w:firstLine="440" w:firstLineChars="200"/>
        <w:rPr>
          <w:rFonts w:ascii="宋体" w:hAnsi="宋体"/>
          <w:sz w:val="22"/>
          <w:szCs w:val="22"/>
        </w:rPr>
      </w:pPr>
      <w:r>
        <w:rPr>
          <w:rFonts w:hint="eastAsia" w:ascii="宋体" w:hAnsi="宋体"/>
          <w:sz w:val="22"/>
          <w:szCs w:val="22"/>
        </w:rPr>
        <w:t>7）、在施工过程中须服从项目部统一管理与组织实施，否则每次予以500元罚款处罚。</w:t>
      </w:r>
    </w:p>
    <w:p>
      <w:pPr>
        <w:spacing w:line="400" w:lineRule="exact"/>
        <w:ind w:firstLine="440" w:firstLineChars="200"/>
        <w:rPr>
          <w:rFonts w:hint="eastAsia" w:ascii="宋体" w:hAnsi="宋体"/>
          <w:sz w:val="22"/>
          <w:szCs w:val="22"/>
        </w:rPr>
      </w:pPr>
      <w:r>
        <w:rPr>
          <w:rFonts w:hint="eastAsia" w:ascii="宋体" w:hAnsi="宋体"/>
          <w:sz w:val="22"/>
          <w:szCs w:val="22"/>
        </w:rPr>
        <w:t>8）、询价工程量及施工要求、内容一览表：</w:t>
      </w:r>
    </w:p>
    <w:p>
      <w:pPr>
        <w:spacing w:line="400" w:lineRule="exact"/>
        <w:ind w:firstLine="440" w:firstLineChars="200"/>
        <w:rPr>
          <w:rFonts w:hint="eastAsia" w:ascii="宋体" w:hAnsi="宋体"/>
          <w:sz w:val="22"/>
          <w:szCs w:val="22"/>
        </w:rPr>
      </w:pPr>
    </w:p>
    <w:tbl>
      <w:tblPr>
        <w:tblStyle w:val="1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3780"/>
        <w:gridCol w:w="660"/>
        <w:gridCol w:w="888"/>
        <w:gridCol w:w="660"/>
        <w:gridCol w:w="111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105"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工程名称</w:t>
            </w:r>
          </w:p>
        </w:tc>
        <w:tc>
          <w:tcPr>
            <w:tcW w:w="378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技术规格</w:t>
            </w:r>
          </w:p>
        </w:tc>
        <w:tc>
          <w:tcPr>
            <w:tcW w:w="66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单位</w:t>
            </w:r>
          </w:p>
        </w:tc>
        <w:tc>
          <w:tcPr>
            <w:tcW w:w="888" w:type="dxa"/>
            <w:vMerge w:val="restart"/>
            <w:vAlign w:val="center"/>
          </w:tcPr>
          <w:p>
            <w:pPr>
              <w:spacing w:line="360" w:lineRule="auto"/>
              <w:jc w:val="center"/>
              <w:rPr>
                <w:rFonts w:hint="eastAsia" w:ascii="仿宋_GB2312" w:hAnsi="宋体" w:eastAsia="仿宋_GB2312"/>
                <w:szCs w:val="21"/>
                <w:lang w:val="en-US" w:eastAsia="zh-CN"/>
              </w:rPr>
            </w:pPr>
            <w:r>
              <w:rPr>
                <w:rFonts w:hint="eastAsia" w:ascii="仿宋_GB2312" w:hAnsi="宋体" w:eastAsia="仿宋_GB2312"/>
                <w:szCs w:val="21"/>
                <w:lang w:val="en-US" w:eastAsia="zh-CN"/>
              </w:rPr>
              <w:t>暂定</w:t>
            </w:r>
          </w:p>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数量</w:t>
            </w:r>
          </w:p>
        </w:tc>
        <w:tc>
          <w:tcPr>
            <w:tcW w:w="66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单价</w:t>
            </w:r>
          </w:p>
        </w:tc>
        <w:tc>
          <w:tcPr>
            <w:tcW w:w="1116"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总价</w:t>
            </w:r>
          </w:p>
        </w:tc>
        <w:tc>
          <w:tcPr>
            <w:tcW w:w="830" w:type="dxa"/>
            <w:vMerge w:val="restart"/>
          </w:tcPr>
          <w:p>
            <w:pPr>
              <w:spacing w:line="360" w:lineRule="auto"/>
              <w:jc w:val="both"/>
              <w:rPr>
                <w:rFonts w:hint="eastAsia" w:ascii="仿宋_GB2312" w:hAnsi="宋体" w:eastAsia="仿宋_GB2312"/>
                <w:szCs w:val="21"/>
                <w:lang w:val="en-US" w:eastAsia="zh-CN"/>
              </w:rPr>
            </w:pPr>
          </w:p>
          <w:p>
            <w:pPr>
              <w:spacing w:line="360" w:lineRule="auto"/>
              <w:jc w:val="both"/>
              <w:rPr>
                <w:rFonts w:hint="eastAsia" w:ascii="仿宋_GB2312" w:hAnsi="宋体" w:eastAsia="仿宋_GB2312"/>
                <w:szCs w:val="21"/>
                <w:lang w:val="en-US" w:eastAsia="zh-CN"/>
              </w:rPr>
            </w:pPr>
            <w:r>
              <w:rPr>
                <w:rFonts w:hint="eastAsia" w:ascii="仿宋_GB2312" w:hAnsi="宋体" w:eastAsia="仿宋_GB2312"/>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105" w:type="dxa"/>
            <w:vMerge w:val="continue"/>
            <w:vAlign w:val="center"/>
          </w:tcPr>
          <w:p>
            <w:pPr>
              <w:spacing w:line="360" w:lineRule="auto"/>
              <w:jc w:val="center"/>
              <w:rPr>
                <w:rFonts w:ascii="仿宋_GB2312" w:hAnsi="宋体" w:eastAsia="仿宋_GB2312"/>
                <w:szCs w:val="21"/>
              </w:rPr>
            </w:pPr>
          </w:p>
        </w:tc>
        <w:tc>
          <w:tcPr>
            <w:tcW w:w="3780" w:type="dxa"/>
            <w:vMerge w:val="continue"/>
            <w:vAlign w:val="center"/>
          </w:tcPr>
          <w:p>
            <w:pPr>
              <w:spacing w:line="360" w:lineRule="auto"/>
              <w:jc w:val="center"/>
              <w:rPr>
                <w:rFonts w:ascii="仿宋_GB2312" w:hAnsi="宋体" w:eastAsia="仿宋_GB2312"/>
                <w:szCs w:val="21"/>
              </w:rPr>
            </w:pPr>
          </w:p>
        </w:tc>
        <w:tc>
          <w:tcPr>
            <w:tcW w:w="660" w:type="dxa"/>
            <w:vMerge w:val="continue"/>
            <w:vAlign w:val="center"/>
          </w:tcPr>
          <w:p>
            <w:pPr>
              <w:spacing w:line="360" w:lineRule="auto"/>
              <w:jc w:val="center"/>
              <w:rPr>
                <w:rFonts w:ascii="仿宋_GB2312" w:hAnsi="宋体" w:eastAsia="仿宋_GB2312"/>
                <w:szCs w:val="21"/>
              </w:rPr>
            </w:pPr>
          </w:p>
        </w:tc>
        <w:tc>
          <w:tcPr>
            <w:tcW w:w="888" w:type="dxa"/>
            <w:vMerge w:val="continue"/>
            <w:vAlign w:val="center"/>
          </w:tcPr>
          <w:p>
            <w:pPr>
              <w:spacing w:line="360" w:lineRule="auto"/>
              <w:jc w:val="center"/>
              <w:rPr>
                <w:rFonts w:ascii="仿宋_GB2312" w:hAnsi="宋体" w:eastAsia="仿宋_GB2312"/>
                <w:szCs w:val="21"/>
              </w:rPr>
            </w:pPr>
          </w:p>
        </w:tc>
        <w:tc>
          <w:tcPr>
            <w:tcW w:w="660" w:type="dxa"/>
            <w:vMerge w:val="continue"/>
            <w:vAlign w:val="center"/>
          </w:tcPr>
          <w:p>
            <w:pPr>
              <w:spacing w:line="360" w:lineRule="auto"/>
              <w:jc w:val="center"/>
              <w:rPr>
                <w:rFonts w:ascii="仿宋_GB2312" w:hAnsi="宋体" w:eastAsia="仿宋_GB2312"/>
                <w:szCs w:val="21"/>
              </w:rPr>
            </w:pPr>
          </w:p>
        </w:tc>
        <w:tc>
          <w:tcPr>
            <w:tcW w:w="1116" w:type="dxa"/>
            <w:vMerge w:val="continue"/>
            <w:vAlign w:val="center"/>
          </w:tcPr>
          <w:p>
            <w:pPr>
              <w:spacing w:line="360" w:lineRule="auto"/>
              <w:jc w:val="center"/>
              <w:rPr>
                <w:rFonts w:ascii="仿宋_GB2312" w:hAnsi="宋体" w:eastAsia="仿宋_GB2312"/>
                <w:szCs w:val="21"/>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1" w:hRule="atLeast"/>
        </w:trPr>
        <w:tc>
          <w:tcPr>
            <w:tcW w:w="1105" w:type="dxa"/>
            <w:vAlign w:val="center"/>
          </w:tcPr>
          <w:p>
            <w:pPr>
              <w:spacing w:line="360" w:lineRule="auto"/>
              <w:jc w:val="left"/>
              <w:rPr>
                <w:rFonts w:hint="default" w:eastAsia="仿宋_GB2312"/>
                <w:b w:val="0"/>
                <w:bCs w:val="0"/>
                <w:color w:val="000000"/>
                <w:sz w:val="21"/>
                <w:szCs w:val="21"/>
                <w:lang w:val="en-US"/>
              </w:rPr>
            </w:pPr>
            <w:r>
              <w:rPr>
                <w:rFonts w:hint="eastAsia" w:eastAsia="仿宋_GB2312"/>
                <w:b w:val="0"/>
                <w:bCs w:val="0"/>
                <w:color w:val="000000"/>
                <w:sz w:val="21"/>
                <w:szCs w:val="21"/>
                <w:lang w:val="en-US" w:eastAsia="zh-CN"/>
              </w:rPr>
              <w:t>楼梯栏杆</w:t>
            </w:r>
          </w:p>
          <w:p>
            <w:pPr>
              <w:spacing w:line="360" w:lineRule="auto"/>
              <w:jc w:val="center"/>
              <w:rPr>
                <w:b w:val="0"/>
                <w:bCs w:val="0"/>
                <w:sz w:val="21"/>
                <w:szCs w:val="21"/>
              </w:rPr>
            </w:pPr>
          </w:p>
        </w:tc>
        <w:tc>
          <w:tcPr>
            <w:tcW w:w="3780" w:type="dxa"/>
            <w:vAlign w:val="center"/>
          </w:tcPr>
          <w:p>
            <w:pPr>
              <w:spacing w:line="360" w:lineRule="auto"/>
              <w:jc w:val="left"/>
              <w:rPr>
                <w:rFonts w:hint="default" w:eastAsia="仿宋_GB2312"/>
                <w:color w:val="000000"/>
                <w:sz w:val="21"/>
                <w:szCs w:val="21"/>
                <w:lang w:val="en-US" w:eastAsia="zh-CN"/>
              </w:rPr>
            </w:pPr>
            <w:r>
              <w:rPr>
                <w:rFonts w:hint="eastAsia" w:eastAsia="仿宋_GB2312"/>
                <w:color w:val="000000"/>
                <w:sz w:val="21"/>
                <w:szCs w:val="21"/>
                <w:lang w:val="en-US" w:eastAsia="zh-CN"/>
              </w:rPr>
              <w:t>1、栏杆成型高度：1100mm(楼顶平台处栏杆高度为1.2米)</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2、φ60x3钢管扶手</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3、-60x6双扁钢立柱</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4、φ20横杆</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5、油漆：防锈漆一度，上刷油漆二度</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6、具体做法参图集15J403-1第B26页</w:t>
            </w:r>
          </w:p>
          <w:p>
            <w:pPr>
              <w:spacing w:line="360" w:lineRule="auto"/>
              <w:jc w:val="left"/>
              <w:rPr>
                <w:sz w:val="21"/>
                <w:szCs w:val="21"/>
              </w:rPr>
            </w:pPr>
            <w:r>
              <w:rPr>
                <w:rFonts w:hint="eastAsia" w:eastAsia="仿宋_GB2312"/>
                <w:color w:val="000000"/>
                <w:sz w:val="21"/>
                <w:szCs w:val="21"/>
                <w:lang w:val="en-US" w:eastAsia="zh-CN"/>
              </w:rPr>
              <w:t>7、其他：详见设计图纸、答疑、招标文件、施工规范及相关验收要求</w:t>
            </w:r>
          </w:p>
        </w:tc>
        <w:tc>
          <w:tcPr>
            <w:tcW w:w="660" w:type="dxa"/>
            <w:vAlign w:val="center"/>
          </w:tcPr>
          <w:p>
            <w:pPr>
              <w:spacing w:line="360" w:lineRule="auto"/>
              <w:jc w:val="center"/>
              <w:rPr>
                <w:rFonts w:ascii="仿宋_GB2312" w:hAnsi="宋体" w:eastAsia="仿宋_GB2312"/>
                <w:sz w:val="21"/>
                <w:szCs w:val="21"/>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default" w:ascii="仿宋_GB2312" w:hAnsi="宋体" w:eastAsia="仿宋_GB2312"/>
                <w:sz w:val="21"/>
                <w:szCs w:val="21"/>
                <w:lang w:val="en-US"/>
              </w:rPr>
            </w:pPr>
            <w:r>
              <w:rPr>
                <w:rFonts w:hint="eastAsia" w:eastAsia="仿宋_GB2312"/>
                <w:color w:val="000000"/>
                <w:sz w:val="21"/>
                <w:szCs w:val="21"/>
                <w:lang w:val="en-US" w:eastAsia="zh-CN"/>
              </w:rPr>
              <w:t>359.77</w:t>
            </w:r>
          </w:p>
        </w:tc>
        <w:tc>
          <w:tcPr>
            <w:tcW w:w="660" w:type="dxa"/>
          </w:tcPr>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hint="default" w:ascii="仿宋_GB2312" w:hAnsi="宋体" w:eastAsia="仿宋_GB2312"/>
                <w:szCs w:val="21"/>
                <w:lang w:val="en-US" w:eastAsia="zh-CN"/>
              </w:rPr>
            </w:pPr>
          </w:p>
        </w:tc>
        <w:tc>
          <w:tcPr>
            <w:tcW w:w="1116" w:type="dxa"/>
          </w:tcPr>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hint="default" w:ascii="仿宋_GB2312" w:hAnsi="宋体" w:eastAsia="仿宋_GB2312"/>
                <w:szCs w:val="21"/>
                <w:lang w:val="en-US" w:eastAsia="zh-CN"/>
              </w:rPr>
            </w:pPr>
          </w:p>
        </w:tc>
        <w:tc>
          <w:tcPr>
            <w:tcW w:w="830" w:type="dxa"/>
            <w:vMerge w:val="restart"/>
          </w:tcPr>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ascii="仿宋_GB2312" w:hAnsi="宋体" w:eastAsia="仿宋_GB2312"/>
                <w:szCs w:val="21"/>
              </w:rPr>
            </w:pPr>
          </w:p>
          <w:p>
            <w:pPr>
              <w:tabs>
                <w:tab w:val="left" w:pos="286"/>
              </w:tabs>
              <w:spacing w:line="360" w:lineRule="auto"/>
              <w:jc w:val="left"/>
              <w:rPr>
                <w:rFonts w:hint="eastAsia" w:eastAsia="仿宋_GB2312"/>
                <w:sz w:val="24"/>
                <w:lang w:eastAsia="zh-CN"/>
              </w:rPr>
            </w:pPr>
            <w:r>
              <w:rPr>
                <w:rFonts w:hint="eastAsia" w:eastAsia="仿宋_GB2312"/>
                <w:sz w:val="24"/>
                <w:lang w:eastAsia="zh-CN"/>
              </w:rPr>
              <w:tab/>
            </w: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lang w:val="en-US" w:eastAsia="zh-CN"/>
              </w:rPr>
            </w:pPr>
            <w:r>
              <w:rPr>
                <w:rFonts w:hint="eastAsia" w:eastAsia="仿宋_GB2312"/>
                <w:sz w:val="24"/>
                <w:lang w:val="en-US" w:eastAsia="zh-CN"/>
              </w:rPr>
              <w:t>最终以现场实际完成量为准</w:t>
            </w: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left"/>
              <w:rPr>
                <w:rFonts w:hint="eastAsia" w:eastAsia="仿宋_GB2312"/>
                <w:b w:val="0"/>
                <w:bCs w:val="0"/>
                <w:color w:val="000000"/>
                <w:sz w:val="21"/>
                <w:szCs w:val="21"/>
                <w:lang w:val="en-US" w:eastAsia="zh-CN"/>
              </w:rPr>
            </w:pPr>
            <w:r>
              <w:rPr>
                <w:rFonts w:hint="eastAsia" w:eastAsia="仿宋_GB2312"/>
                <w:b w:val="0"/>
                <w:bCs w:val="0"/>
                <w:color w:val="000000"/>
                <w:sz w:val="21"/>
                <w:szCs w:val="21"/>
                <w:lang w:val="en-US" w:eastAsia="zh-CN"/>
              </w:rPr>
              <w:t>玻璃栏板</w:t>
            </w:r>
          </w:p>
          <w:p>
            <w:pPr>
              <w:spacing w:line="360" w:lineRule="auto"/>
              <w:jc w:val="center"/>
              <w:rPr>
                <w:b w:val="0"/>
                <w:bCs w:val="0"/>
                <w:sz w:val="21"/>
                <w:szCs w:val="21"/>
              </w:rPr>
            </w:pPr>
          </w:p>
        </w:tc>
        <w:tc>
          <w:tcPr>
            <w:tcW w:w="3780" w:type="dxa"/>
            <w:vAlign w:val="center"/>
          </w:tcPr>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1、成型高度：1100mm</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2、φ50*3不锈钢扶手（201系列不锈钢）</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3、8厚扁钢立柱</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4、12厚钢化夹层玻璃栏板</w:t>
            </w:r>
          </w:p>
          <w:p>
            <w:pPr>
              <w:spacing w:line="360" w:lineRule="auto"/>
              <w:jc w:val="left"/>
              <w:rPr>
                <w:sz w:val="21"/>
                <w:szCs w:val="21"/>
              </w:rPr>
            </w:pPr>
            <w:r>
              <w:rPr>
                <w:rFonts w:hint="eastAsia" w:eastAsia="仿宋_GB2312"/>
                <w:color w:val="000000"/>
                <w:sz w:val="21"/>
                <w:szCs w:val="21"/>
                <w:lang w:val="en-US" w:eastAsia="zh-CN"/>
              </w:rPr>
              <w:t>5、具体做法参图集15J403-1-D68-PC21</w:t>
            </w:r>
          </w:p>
        </w:tc>
        <w:tc>
          <w:tcPr>
            <w:tcW w:w="660" w:type="dxa"/>
            <w:vAlign w:val="center"/>
          </w:tcPr>
          <w:p>
            <w:pPr>
              <w:spacing w:line="360" w:lineRule="auto"/>
              <w:jc w:val="center"/>
              <w:rPr>
                <w:rFonts w:ascii="仿宋_GB2312" w:hAnsi="宋体" w:eastAsia="仿宋_GB2312"/>
                <w:sz w:val="21"/>
                <w:szCs w:val="21"/>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eastAsia" w:eastAsia="仿宋_GB2312"/>
                <w:color w:val="000000"/>
                <w:sz w:val="21"/>
                <w:szCs w:val="21"/>
                <w:lang w:val="en-US" w:eastAsia="zh-CN"/>
              </w:rPr>
            </w:pPr>
          </w:p>
          <w:p>
            <w:pPr>
              <w:spacing w:line="360" w:lineRule="auto"/>
              <w:jc w:val="center"/>
              <w:rPr>
                <w:rFonts w:hint="default" w:ascii="仿宋_GB2312" w:hAnsi="宋体" w:eastAsia="仿宋_GB2312"/>
                <w:sz w:val="21"/>
                <w:szCs w:val="21"/>
                <w:lang w:val="en-US"/>
              </w:rPr>
            </w:pPr>
            <w:r>
              <w:rPr>
                <w:rFonts w:hint="eastAsia" w:eastAsia="仿宋_GB2312"/>
                <w:color w:val="000000"/>
                <w:sz w:val="21"/>
                <w:szCs w:val="21"/>
                <w:lang w:val="en-US" w:eastAsia="zh-CN"/>
              </w:rPr>
              <w:t>414.24</w:t>
            </w:r>
          </w:p>
        </w:tc>
        <w:tc>
          <w:tcPr>
            <w:tcW w:w="660" w:type="dxa"/>
          </w:tcPr>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0" w:hRule="atLeast"/>
        </w:trPr>
        <w:tc>
          <w:tcPr>
            <w:tcW w:w="1105" w:type="dxa"/>
            <w:vAlign w:val="center"/>
          </w:tcPr>
          <w:p>
            <w:pPr>
              <w:spacing w:line="360" w:lineRule="auto"/>
              <w:jc w:val="left"/>
              <w:rPr>
                <w:rFonts w:hint="eastAsia" w:eastAsia="仿宋_GB2312"/>
                <w:b w:val="0"/>
                <w:bCs w:val="0"/>
                <w:sz w:val="21"/>
                <w:szCs w:val="21"/>
                <w:lang w:val="en-US" w:eastAsia="zh-CN"/>
              </w:rPr>
            </w:pPr>
            <w:r>
              <w:rPr>
                <w:rFonts w:hint="eastAsia" w:eastAsia="仿宋_GB2312"/>
                <w:b w:val="0"/>
                <w:bCs w:val="0"/>
                <w:sz w:val="21"/>
                <w:szCs w:val="21"/>
                <w:lang w:val="en-US" w:eastAsia="zh-CN"/>
              </w:rPr>
              <w:t>玻璃栏板</w:t>
            </w:r>
          </w:p>
          <w:p>
            <w:pPr>
              <w:spacing w:line="360" w:lineRule="auto"/>
              <w:jc w:val="center"/>
              <w:rPr>
                <w:rFonts w:ascii="仿宋_GB2312" w:hAnsi="宋体" w:eastAsia="仿宋_GB2312"/>
                <w:b w:val="0"/>
                <w:bCs w:val="0"/>
                <w:sz w:val="21"/>
                <w:szCs w:val="21"/>
              </w:rPr>
            </w:pPr>
          </w:p>
        </w:tc>
        <w:tc>
          <w:tcPr>
            <w:tcW w:w="3780" w:type="dxa"/>
            <w:vAlign w:val="center"/>
          </w:tcPr>
          <w:p>
            <w:pPr>
              <w:numPr>
                <w:ilvl w:val="0"/>
                <w:numId w:val="0"/>
              </w:num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1、成型高度：1200mm</w:t>
            </w:r>
          </w:p>
          <w:p>
            <w:pPr>
              <w:numPr>
                <w:ilvl w:val="0"/>
                <w:numId w:val="0"/>
              </w:num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2、φ50*3不锈钢扶手（201系列不锈钢）</w:t>
            </w:r>
          </w:p>
          <w:p>
            <w:pPr>
              <w:numPr>
                <w:ilvl w:val="0"/>
                <w:numId w:val="0"/>
              </w:num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3、-80*8厚扁钢立柱</w:t>
            </w:r>
          </w:p>
          <w:p>
            <w:pPr>
              <w:numPr>
                <w:ilvl w:val="0"/>
                <w:numId w:val="0"/>
              </w:num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4、12厚钢化夹层玻璃栏板</w:t>
            </w:r>
          </w:p>
          <w:p>
            <w:pPr>
              <w:numPr>
                <w:ilvl w:val="0"/>
                <w:numId w:val="0"/>
              </w:numPr>
              <w:spacing w:line="360" w:lineRule="auto"/>
              <w:ind w:left="0" w:leftChars="0" w:firstLine="0" w:firstLineChars="0"/>
              <w:jc w:val="left"/>
              <w:rPr>
                <w:rFonts w:ascii="仿宋_GB2312" w:hAnsi="宋体" w:eastAsia="仿宋_GB2312"/>
                <w:sz w:val="21"/>
                <w:szCs w:val="21"/>
              </w:rPr>
            </w:pPr>
            <w:r>
              <w:rPr>
                <w:rFonts w:hint="eastAsia" w:eastAsia="仿宋_GB2312"/>
                <w:color w:val="000000"/>
                <w:sz w:val="21"/>
                <w:szCs w:val="21"/>
                <w:lang w:val="en-US" w:eastAsia="zh-CN"/>
              </w:rPr>
              <w:t>5、具体做法参图集15J403-1-B49-C8</w:t>
            </w:r>
          </w:p>
        </w:tc>
        <w:tc>
          <w:tcPr>
            <w:tcW w:w="660" w:type="dxa"/>
            <w:vAlign w:val="center"/>
          </w:tcPr>
          <w:p>
            <w:pPr>
              <w:spacing w:line="360" w:lineRule="auto"/>
              <w:jc w:val="center"/>
              <w:rPr>
                <w:rFonts w:ascii="仿宋_GB2312" w:hAnsi="宋体" w:eastAsia="仿宋_GB2312"/>
                <w:sz w:val="21"/>
                <w:szCs w:val="21"/>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default" w:ascii="仿宋_GB2312" w:hAnsi="宋体" w:eastAsia="仿宋_GB2312"/>
                <w:sz w:val="21"/>
                <w:szCs w:val="21"/>
                <w:lang w:val="en-US"/>
              </w:rPr>
            </w:pPr>
            <w:r>
              <w:rPr>
                <w:rFonts w:hint="eastAsia" w:eastAsia="仿宋_GB2312"/>
                <w:color w:val="000000"/>
                <w:sz w:val="21"/>
                <w:szCs w:val="21"/>
                <w:lang w:val="en-US" w:eastAsia="zh-CN"/>
              </w:rPr>
              <w:t>32.8</w:t>
            </w:r>
          </w:p>
        </w:tc>
        <w:tc>
          <w:tcPr>
            <w:tcW w:w="660"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ascii="仿宋_GB2312" w:hAnsi="宋体" w:eastAsia="仿宋_GB2312"/>
                <w:sz w:val="21"/>
                <w:szCs w:val="21"/>
              </w:rPr>
            </w:pPr>
            <w:r>
              <w:rPr>
                <w:rFonts w:hint="eastAsia" w:ascii="仿宋_GB2312" w:hAnsi="宋体" w:eastAsia="仿宋_GB2312"/>
                <w:sz w:val="21"/>
                <w:szCs w:val="21"/>
              </w:rPr>
              <w:t>护窗栏杆</w:t>
            </w:r>
          </w:p>
        </w:tc>
        <w:tc>
          <w:tcPr>
            <w:tcW w:w="3780" w:type="dxa"/>
            <w:vAlign w:val="center"/>
          </w:tcPr>
          <w:p>
            <w:pPr>
              <w:spacing w:line="360" w:lineRule="auto"/>
              <w:jc w:val="left"/>
              <w:rPr>
                <w:rFonts w:hint="eastAsia" w:ascii="仿宋_GB2312" w:hAnsi="宋体" w:eastAsia="仿宋_GB2312"/>
                <w:sz w:val="21"/>
                <w:szCs w:val="21"/>
              </w:rPr>
            </w:pPr>
            <w:r>
              <w:rPr>
                <w:rFonts w:hint="eastAsia" w:ascii="仿宋_GB2312" w:hAnsi="宋体" w:eastAsia="仿宋_GB2312"/>
                <w:sz w:val="21"/>
                <w:szCs w:val="21"/>
              </w:rPr>
              <w:t>1、栏杆</w:t>
            </w:r>
            <w:r>
              <w:rPr>
                <w:rFonts w:hint="eastAsia" w:eastAsia="仿宋_GB2312"/>
                <w:color w:val="000000"/>
                <w:sz w:val="21"/>
                <w:szCs w:val="21"/>
                <w:lang w:val="en-US" w:eastAsia="zh-CN"/>
              </w:rPr>
              <w:t>成型</w:t>
            </w:r>
            <w:r>
              <w:rPr>
                <w:rFonts w:hint="eastAsia" w:ascii="仿宋_GB2312" w:hAnsi="宋体" w:eastAsia="仿宋_GB2312"/>
                <w:sz w:val="21"/>
                <w:szCs w:val="21"/>
              </w:rPr>
              <w:t>高度：1100mm</w:t>
            </w:r>
          </w:p>
          <w:p>
            <w:pPr>
              <w:spacing w:line="360" w:lineRule="auto"/>
              <w:jc w:val="left"/>
              <w:rPr>
                <w:rFonts w:hint="eastAsia" w:ascii="仿宋_GB2312" w:hAnsi="宋体" w:eastAsia="仿宋_GB2312"/>
                <w:sz w:val="21"/>
                <w:szCs w:val="21"/>
              </w:rPr>
            </w:pPr>
            <w:r>
              <w:rPr>
                <w:rFonts w:hint="eastAsia" w:ascii="仿宋_GB2312" w:hAnsi="宋体" w:eastAsia="仿宋_GB2312"/>
                <w:sz w:val="21"/>
                <w:szCs w:val="21"/>
              </w:rPr>
              <w:t>2、木扶手</w:t>
            </w:r>
          </w:p>
          <w:p>
            <w:pPr>
              <w:spacing w:line="360" w:lineRule="auto"/>
              <w:jc w:val="left"/>
              <w:rPr>
                <w:rFonts w:hint="eastAsia" w:ascii="仿宋_GB2312" w:hAnsi="宋体" w:eastAsia="仿宋_GB2312"/>
                <w:sz w:val="21"/>
                <w:szCs w:val="21"/>
              </w:rPr>
            </w:pPr>
            <w:r>
              <w:rPr>
                <w:rFonts w:hint="eastAsia" w:ascii="仿宋_GB2312" w:hAnsi="宋体" w:eastAsia="仿宋_GB2312"/>
                <w:sz w:val="21"/>
                <w:szCs w:val="21"/>
              </w:rPr>
              <w:t>3、φ24x2@110不锈钢管栏杆</w:t>
            </w:r>
            <w:r>
              <w:rPr>
                <w:rFonts w:hint="eastAsia" w:eastAsia="仿宋_GB2312"/>
                <w:color w:val="000000"/>
                <w:sz w:val="21"/>
                <w:szCs w:val="21"/>
                <w:lang w:val="en-US" w:eastAsia="zh-CN"/>
              </w:rPr>
              <w:t>（201系列不锈钢）</w:t>
            </w:r>
          </w:p>
          <w:p>
            <w:pPr>
              <w:spacing w:line="360" w:lineRule="auto"/>
              <w:jc w:val="left"/>
              <w:rPr>
                <w:rFonts w:hint="eastAsia" w:ascii="仿宋_GB2312" w:hAnsi="宋体" w:eastAsia="仿宋_GB2312"/>
                <w:sz w:val="21"/>
                <w:szCs w:val="21"/>
              </w:rPr>
            </w:pPr>
            <w:r>
              <w:rPr>
                <w:rFonts w:hint="eastAsia" w:ascii="仿宋_GB2312" w:hAnsi="宋体" w:eastAsia="仿宋_GB2312"/>
                <w:sz w:val="21"/>
                <w:szCs w:val="21"/>
                <w:lang w:val="en-US" w:eastAsia="zh-CN"/>
              </w:rPr>
              <w:t>4</w:t>
            </w:r>
            <w:r>
              <w:rPr>
                <w:rFonts w:hint="eastAsia" w:ascii="仿宋_GB2312" w:hAnsi="宋体" w:eastAsia="仿宋_GB2312"/>
                <w:sz w:val="21"/>
                <w:szCs w:val="21"/>
              </w:rPr>
              <w:t>、具体做法参图集15J403-1第C14页H1</w:t>
            </w:r>
          </w:p>
          <w:p>
            <w:pPr>
              <w:spacing w:line="360" w:lineRule="auto"/>
              <w:jc w:val="left"/>
              <w:rPr>
                <w:rFonts w:ascii="仿宋_GB2312" w:hAnsi="宋体" w:eastAsia="仿宋_GB2312"/>
                <w:sz w:val="21"/>
                <w:szCs w:val="21"/>
              </w:rPr>
            </w:pPr>
            <w:r>
              <w:rPr>
                <w:rFonts w:hint="eastAsia" w:ascii="仿宋_GB2312" w:hAnsi="宋体" w:eastAsia="仿宋_GB2312"/>
                <w:sz w:val="21"/>
                <w:szCs w:val="21"/>
                <w:lang w:val="en-US" w:eastAsia="zh-CN"/>
              </w:rPr>
              <w:t>5</w:t>
            </w:r>
            <w:r>
              <w:rPr>
                <w:rFonts w:hint="eastAsia" w:ascii="仿宋_GB2312" w:hAnsi="宋体" w:eastAsia="仿宋_GB2312"/>
                <w:sz w:val="21"/>
                <w:szCs w:val="21"/>
              </w:rPr>
              <w:t>、其他：详见设计图纸、答疑、招标文件、施工规范及相关验收要求</w:t>
            </w:r>
          </w:p>
        </w:tc>
        <w:tc>
          <w:tcPr>
            <w:tcW w:w="660" w:type="dxa"/>
            <w:vAlign w:val="center"/>
          </w:tcPr>
          <w:p>
            <w:pPr>
              <w:spacing w:line="360" w:lineRule="auto"/>
              <w:jc w:val="center"/>
              <w:rPr>
                <w:rFonts w:hint="eastAsia" w:ascii="仿宋_GB2312" w:hAnsi="宋体" w:eastAsia="仿宋_GB2312"/>
                <w:sz w:val="21"/>
                <w:szCs w:val="21"/>
                <w:lang w:val="en-US" w:eastAsia="zh-CN"/>
              </w:rPr>
            </w:pPr>
            <w:r>
              <w:rPr>
                <w:rFonts w:hint="eastAsia" w:ascii="仿宋_GB2312" w:hAnsi="宋体" w:eastAsia="仿宋_GB2312"/>
                <w:sz w:val="21"/>
                <w:szCs w:val="21"/>
                <w:lang w:val="en-US" w:eastAsia="zh-CN"/>
              </w:rPr>
              <w:t>米</w:t>
            </w:r>
          </w:p>
        </w:tc>
        <w:tc>
          <w:tcPr>
            <w:tcW w:w="888" w:type="dxa"/>
            <w:vAlign w:val="center"/>
          </w:tcPr>
          <w:p>
            <w:pPr>
              <w:spacing w:line="360" w:lineRule="auto"/>
              <w:jc w:val="center"/>
              <w:rPr>
                <w:rFonts w:hint="default" w:ascii="仿宋_GB2312" w:hAnsi="宋体" w:eastAsia="仿宋_GB2312"/>
                <w:sz w:val="21"/>
                <w:szCs w:val="21"/>
                <w:lang w:val="en-US" w:eastAsia="zh-CN"/>
              </w:rPr>
            </w:pPr>
            <w:r>
              <w:rPr>
                <w:rFonts w:hint="eastAsia" w:ascii="仿宋_GB2312" w:hAnsi="宋体" w:eastAsia="仿宋_GB2312"/>
                <w:sz w:val="21"/>
                <w:szCs w:val="21"/>
                <w:lang w:val="en-US" w:eastAsia="zh-CN"/>
              </w:rPr>
              <w:t>462.11</w:t>
            </w:r>
          </w:p>
        </w:tc>
        <w:tc>
          <w:tcPr>
            <w:tcW w:w="660"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hint="eastAsia" w:ascii="仿宋_GB2312" w:hAnsi="宋体" w:eastAsia="仿宋_GB2312"/>
                <w:sz w:val="21"/>
                <w:szCs w:val="21"/>
                <w:lang w:eastAsia="zh-CN"/>
              </w:rPr>
            </w:pPr>
            <w:r>
              <w:rPr>
                <w:rFonts w:hint="eastAsia" w:ascii="仿宋_GB2312" w:hAnsi="宋体" w:eastAsia="仿宋_GB2312"/>
                <w:sz w:val="21"/>
                <w:szCs w:val="21"/>
                <w:lang w:eastAsia="zh-CN"/>
              </w:rPr>
              <w:t>无障碍扶手</w:t>
            </w:r>
          </w:p>
        </w:tc>
        <w:tc>
          <w:tcPr>
            <w:tcW w:w="3780" w:type="dxa"/>
            <w:vAlign w:val="center"/>
          </w:tcPr>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1、栏板</w:t>
            </w:r>
            <w:r>
              <w:rPr>
                <w:rFonts w:hint="eastAsia" w:eastAsia="仿宋_GB2312"/>
                <w:color w:val="000000"/>
                <w:sz w:val="21"/>
                <w:szCs w:val="21"/>
                <w:lang w:val="en-US" w:eastAsia="zh-CN"/>
              </w:rPr>
              <w:t>成型</w:t>
            </w:r>
            <w:r>
              <w:rPr>
                <w:rFonts w:hint="default" w:eastAsia="仿宋_GB2312"/>
                <w:color w:val="000000"/>
                <w:sz w:val="21"/>
                <w:szCs w:val="21"/>
                <w:lang w:val="en-US" w:eastAsia="zh-CN"/>
              </w:rPr>
              <w:t>高度：900mm</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2、φ40不锈钢管扶手、φ15不锈钢管横杆</w:t>
            </w:r>
            <w:r>
              <w:rPr>
                <w:rFonts w:hint="eastAsia" w:eastAsia="仿宋_GB2312"/>
                <w:color w:val="000000"/>
                <w:sz w:val="21"/>
                <w:szCs w:val="21"/>
                <w:lang w:val="en-US" w:eastAsia="zh-CN"/>
              </w:rPr>
              <w:t>（201系列不锈钢）</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3、φ40不锈钢管立柱</w:t>
            </w:r>
          </w:p>
          <w:p>
            <w:pPr>
              <w:numPr>
                <w:ilvl w:val="0"/>
                <w:numId w:val="0"/>
              </w:numPr>
              <w:spacing w:line="360" w:lineRule="auto"/>
              <w:jc w:val="left"/>
              <w:rPr>
                <w:rFonts w:hint="default" w:eastAsia="仿宋_GB2312"/>
                <w:color w:val="000000"/>
                <w:sz w:val="21"/>
                <w:szCs w:val="21"/>
                <w:lang w:val="en-US" w:eastAsia="zh-CN"/>
              </w:rPr>
            </w:pPr>
            <w:r>
              <w:rPr>
                <w:rFonts w:hint="eastAsia" w:eastAsia="仿宋_GB2312"/>
                <w:color w:val="000000"/>
                <w:sz w:val="21"/>
                <w:szCs w:val="21"/>
                <w:lang w:val="en-US" w:eastAsia="zh-CN"/>
              </w:rPr>
              <w:t>4</w:t>
            </w:r>
            <w:r>
              <w:rPr>
                <w:rFonts w:hint="default" w:eastAsia="仿宋_GB2312"/>
                <w:color w:val="000000"/>
                <w:sz w:val="21"/>
                <w:szCs w:val="21"/>
                <w:lang w:val="en-US" w:eastAsia="zh-CN"/>
              </w:rPr>
              <w:t>、具体做法参图集03J926第23页1</w:t>
            </w:r>
          </w:p>
          <w:p>
            <w:pPr>
              <w:numPr>
                <w:ilvl w:val="0"/>
                <w:numId w:val="0"/>
              </w:numPr>
              <w:spacing w:line="360" w:lineRule="auto"/>
              <w:jc w:val="left"/>
              <w:rPr>
                <w:rFonts w:hint="default" w:eastAsia="仿宋_GB2312"/>
                <w:color w:val="000000"/>
                <w:sz w:val="21"/>
                <w:szCs w:val="21"/>
                <w:lang w:val="en-US" w:eastAsia="zh-CN"/>
              </w:rPr>
            </w:pPr>
            <w:r>
              <w:rPr>
                <w:rFonts w:hint="eastAsia" w:eastAsia="仿宋_GB2312"/>
                <w:color w:val="000000"/>
                <w:sz w:val="21"/>
                <w:szCs w:val="21"/>
                <w:lang w:val="en-US" w:eastAsia="zh-CN"/>
              </w:rPr>
              <w:t>5</w:t>
            </w:r>
            <w:r>
              <w:rPr>
                <w:rFonts w:hint="default" w:eastAsia="仿宋_GB2312"/>
                <w:color w:val="000000"/>
                <w:sz w:val="21"/>
                <w:szCs w:val="21"/>
                <w:lang w:val="en-US" w:eastAsia="zh-CN"/>
              </w:rPr>
              <w:t>、其他：详见设计图纸、答疑、招标文件、施工规范及相关验收要求</w:t>
            </w:r>
          </w:p>
        </w:tc>
        <w:tc>
          <w:tcPr>
            <w:tcW w:w="660" w:type="dxa"/>
            <w:vAlign w:val="center"/>
          </w:tcPr>
          <w:p>
            <w:pPr>
              <w:spacing w:line="360" w:lineRule="auto"/>
              <w:jc w:val="center"/>
              <w:rPr>
                <w:rFonts w:hint="default" w:eastAsia="仿宋_GB2312"/>
                <w:color w:val="000000"/>
                <w:sz w:val="21"/>
                <w:szCs w:val="21"/>
                <w:lang w:val="en-US" w:eastAsia="zh-CN"/>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default" w:eastAsia="仿宋_GB2312"/>
                <w:color w:val="000000"/>
                <w:sz w:val="21"/>
                <w:szCs w:val="21"/>
                <w:lang w:val="en-US" w:eastAsia="zh-CN"/>
              </w:rPr>
            </w:pPr>
            <w:r>
              <w:rPr>
                <w:rFonts w:hint="eastAsia" w:eastAsia="仿宋_GB2312"/>
                <w:color w:val="000000"/>
                <w:sz w:val="21"/>
                <w:szCs w:val="21"/>
                <w:lang w:val="en-US" w:eastAsia="zh-CN"/>
              </w:rPr>
              <w:t>8.6</w:t>
            </w:r>
          </w:p>
        </w:tc>
        <w:tc>
          <w:tcPr>
            <w:tcW w:w="660" w:type="dxa"/>
          </w:tcPr>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hint="eastAsia" w:ascii="仿宋_GB2312" w:hAnsi="宋体" w:eastAsia="仿宋_GB2312"/>
                <w:sz w:val="21"/>
                <w:szCs w:val="21"/>
                <w:lang w:eastAsia="zh-CN"/>
              </w:rPr>
            </w:pPr>
            <w:r>
              <w:rPr>
                <w:rFonts w:hint="eastAsia" w:ascii="仿宋_GB2312" w:hAnsi="宋体" w:eastAsia="仿宋_GB2312"/>
                <w:sz w:val="21"/>
                <w:szCs w:val="21"/>
                <w:lang w:eastAsia="zh-CN"/>
              </w:rPr>
              <w:t>不锈钢玻璃栏杆</w:t>
            </w:r>
          </w:p>
        </w:tc>
        <w:tc>
          <w:tcPr>
            <w:tcW w:w="3780" w:type="dxa"/>
            <w:vAlign w:val="center"/>
          </w:tcPr>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1、栏杆材质、规格：不锈钢夹胶玻璃栏杆</w:t>
            </w:r>
            <w:r>
              <w:rPr>
                <w:rFonts w:hint="eastAsia" w:eastAsia="仿宋_GB2312"/>
                <w:color w:val="000000"/>
                <w:sz w:val="21"/>
                <w:szCs w:val="21"/>
                <w:lang w:val="en-US" w:eastAsia="zh-CN"/>
              </w:rPr>
              <w:t>（201系列不锈钢）</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2、</w:t>
            </w:r>
            <w:r>
              <w:rPr>
                <w:rFonts w:hint="eastAsia" w:eastAsia="仿宋_GB2312"/>
                <w:color w:val="000000"/>
                <w:sz w:val="21"/>
                <w:szCs w:val="21"/>
                <w:lang w:val="en-US" w:eastAsia="zh-CN"/>
              </w:rPr>
              <w:t>成型</w:t>
            </w:r>
            <w:r>
              <w:rPr>
                <w:rFonts w:hint="default" w:eastAsia="仿宋_GB2312"/>
                <w:color w:val="000000"/>
                <w:sz w:val="21"/>
                <w:szCs w:val="21"/>
                <w:lang w:val="en-US" w:eastAsia="zh-CN"/>
              </w:rPr>
              <w:t>高度：1.05m</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3、厚度：12mm厚钢化夹层玻璃</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4、图集：15J403-1 B46</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5、其他：未尽事宜详见设计图纸，设计答疑等</w:t>
            </w:r>
          </w:p>
        </w:tc>
        <w:tc>
          <w:tcPr>
            <w:tcW w:w="660" w:type="dxa"/>
            <w:vAlign w:val="center"/>
          </w:tcPr>
          <w:p>
            <w:pPr>
              <w:spacing w:line="360" w:lineRule="auto"/>
              <w:jc w:val="center"/>
              <w:rPr>
                <w:rFonts w:hint="eastAsia" w:eastAsia="仿宋_GB2312"/>
                <w:color w:val="000000"/>
                <w:sz w:val="21"/>
                <w:szCs w:val="21"/>
                <w:lang w:val="en-US" w:eastAsia="zh-CN"/>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default" w:eastAsia="仿宋_GB2312"/>
                <w:color w:val="000000"/>
                <w:sz w:val="21"/>
                <w:szCs w:val="21"/>
                <w:lang w:val="en-US" w:eastAsia="zh-CN"/>
              </w:rPr>
            </w:pPr>
            <w:r>
              <w:rPr>
                <w:rFonts w:hint="eastAsia" w:eastAsia="仿宋_GB2312"/>
                <w:color w:val="000000"/>
                <w:sz w:val="21"/>
                <w:szCs w:val="21"/>
                <w:lang w:val="en-US" w:eastAsia="zh-CN"/>
              </w:rPr>
              <w:t>81.45</w:t>
            </w:r>
          </w:p>
        </w:tc>
        <w:tc>
          <w:tcPr>
            <w:tcW w:w="660" w:type="dxa"/>
          </w:tcPr>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bl>
    <w:p>
      <w:pPr>
        <w:spacing w:line="400" w:lineRule="exact"/>
        <w:ind w:firstLine="440" w:firstLineChars="200"/>
        <w:rPr>
          <w:rFonts w:hint="eastAsia" w:ascii="宋体" w:hAnsi="宋体"/>
          <w:sz w:val="22"/>
          <w:szCs w:val="22"/>
        </w:rPr>
      </w:pPr>
    </w:p>
    <w:p>
      <w:pPr>
        <w:spacing w:line="360" w:lineRule="auto"/>
        <w:ind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三、报价要求</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1、施工工期：</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本项目最长工期为</w:t>
      </w:r>
      <w:r>
        <w:rPr>
          <w:rFonts w:hint="eastAsia" w:asciiTheme="majorEastAsia" w:hAnsiTheme="majorEastAsia" w:eastAsiaTheme="majorEastAsia" w:cstheme="majorEastAsia"/>
          <w:color w:val="C00000"/>
          <w:szCs w:val="21"/>
          <w:u w:val="single"/>
        </w:rPr>
        <w:t xml:space="preserve"> </w:t>
      </w:r>
      <w:r>
        <w:rPr>
          <w:rFonts w:hint="eastAsia" w:asciiTheme="majorEastAsia" w:hAnsiTheme="majorEastAsia" w:eastAsiaTheme="majorEastAsia" w:cstheme="majorEastAsia"/>
          <w:color w:val="C00000"/>
          <w:szCs w:val="21"/>
          <w:u w:val="single"/>
          <w:lang w:val="en-US" w:eastAsia="zh-CN"/>
        </w:rPr>
        <w:t>30</w:t>
      </w:r>
      <w:r>
        <w:rPr>
          <w:rFonts w:hint="eastAsia" w:asciiTheme="majorEastAsia" w:hAnsiTheme="majorEastAsia" w:eastAsiaTheme="majorEastAsia" w:cstheme="majorEastAsia"/>
          <w:szCs w:val="21"/>
        </w:rPr>
        <w:t>天。报价不得超过此工期。评议报价时我公司需对报价方工期实行评审。如施工中因业主或我公司要求缩短工期，在技术条件允许情况下报价方需无理由执行且不增加任何费用。</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2、不可控条件工期可以顺延。</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在甲方提供乙方施工工作面的前提下，乙方必须严格按照甲方的施工进度计划一切按时完成施工任务，如果乙方逾期完未成施工任务，推迟工期7天以内，按200元/每天进行罚款，推迟超过7天的，按500元/每天进行罚款。全部罚款在当月进度款扣除，合计月进度款不够扣除的在下次进度款扣除，直至扣完罚款为止。</w:t>
      </w:r>
    </w:p>
    <w:p>
      <w:pPr>
        <w:spacing w:line="360" w:lineRule="auto"/>
        <w:ind w:firstLine="420" w:firstLineChars="200"/>
        <w:rPr>
          <w:rFonts w:asciiTheme="majorEastAsia" w:hAnsiTheme="majorEastAsia" w:eastAsiaTheme="majorEastAsia" w:cstheme="majorEastAsia"/>
          <w:szCs w:val="21"/>
        </w:rPr>
      </w:pP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2、工程质量</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本工程严格按照国家现行的施工规范质量验收规范评定标准进行监督检查，若质量不符合标准，由报价人进行返工，直至达到要求为准，返工所发生的费用和工期损失及由此引起我公司的损失，均由报价方承担。</w:t>
      </w:r>
    </w:p>
    <w:p>
      <w:pPr>
        <w:spacing w:line="360" w:lineRule="auto"/>
        <w:ind w:firstLine="308" w:firstLineChars="147"/>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3、安全文明施工要求</w:t>
      </w:r>
    </w:p>
    <w:p>
      <w:pPr>
        <w:spacing w:line="360" w:lineRule="auto"/>
        <w:ind w:firstLine="420" w:firstLineChars="2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3.1 报价人应保证其在施工中符合国家《安全生产法》及与安全相关的法律法规，一旦发生的安全事故，应立即向我公司报告，我公司亦有权对报价人的安全隐患提出整改意见；报价人未及时整改的，我公司有权自行或委托他人整改，发生的费用由报价人承担。</w:t>
      </w:r>
    </w:p>
    <w:p>
      <w:pPr>
        <w:spacing w:line="360" w:lineRule="auto"/>
        <w:ind w:firstLine="420" w:firstLineChars="2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3.2乙方按当地有关的安全规定及业主、监理、甲方的要求，采取严格的安全保护措施，做好安全防范工作。若发生安全事故，乙方承担主要安全责任和因此发生的经济损失（包括赔偿金及罚款）的95%，并不得以任何理由将责任和处理工作推诿给甲方。甲方承担次要边带安全责任及相关的经济损失的5%，并积极协调处理事故。</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3.3  报价人必须服从项目部现场管理，严格执行各项规章制度。进入工地必须戴好安全帽，特殊工种和各种机械操作人员执证操作，认真严格执行国家及市政府、业主与我公司对安全生产、文明施工的规定制度和要求。</w:t>
      </w:r>
    </w:p>
    <w:p>
      <w:pPr>
        <w:spacing w:line="360" w:lineRule="auto"/>
        <w:ind w:firstLine="308" w:firstLineChars="147"/>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4、工程款支付：</w:t>
      </w:r>
    </w:p>
    <w:p>
      <w:pPr>
        <w:spacing w:line="360" w:lineRule="auto"/>
        <w:ind w:firstLine="308" w:firstLineChars="147"/>
        <w:rPr>
          <w:rFonts w:hint="default" w:asciiTheme="majorEastAsia" w:hAnsiTheme="majorEastAsia" w:eastAsiaTheme="majorEastAsia" w:cstheme="majorEastAsia"/>
          <w:szCs w:val="21"/>
          <w:u w:val="none"/>
          <w:lang w:val="en-US" w:eastAsia="zh-CN"/>
        </w:rPr>
      </w:pPr>
      <w:r>
        <w:rPr>
          <w:rFonts w:hint="eastAsia" w:asciiTheme="majorEastAsia" w:hAnsiTheme="majorEastAsia" w:eastAsiaTheme="majorEastAsia" w:cstheme="majorEastAsia"/>
          <w:szCs w:val="21"/>
          <w:lang w:eastAsia="zh-CN"/>
        </w:rPr>
        <w:t>待工程完工后经验收合格后付至工程总价的</w:t>
      </w:r>
      <w:r>
        <w:rPr>
          <w:rFonts w:hint="eastAsia" w:asciiTheme="majorEastAsia" w:hAnsiTheme="majorEastAsia" w:eastAsiaTheme="majorEastAsia" w:cstheme="majorEastAsia"/>
          <w:color w:val="FF0000"/>
          <w:szCs w:val="21"/>
          <w:u w:val="single"/>
          <w:lang w:val="en-US" w:eastAsia="zh-CN"/>
        </w:rPr>
        <w:t>95%</w:t>
      </w:r>
      <w:r>
        <w:rPr>
          <w:rFonts w:hint="eastAsia" w:asciiTheme="majorEastAsia" w:hAnsiTheme="majorEastAsia" w:eastAsiaTheme="majorEastAsia" w:cstheme="majorEastAsia"/>
          <w:color w:val="FF0000"/>
          <w:szCs w:val="21"/>
          <w:u w:val="none"/>
          <w:lang w:val="en-US" w:eastAsia="zh-CN"/>
        </w:rPr>
        <w:t>，</w:t>
      </w:r>
      <w:r>
        <w:rPr>
          <w:rFonts w:hint="eastAsia" w:asciiTheme="majorEastAsia" w:hAnsiTheme="majorEastAsia" w:eastAsiaTheme="majorEastAsia" w:cstheme="majorEastAsia"/>
          <w:color w:val="auto"/>
          <w:szCs w:val="21"/>
          <w:u w:val="none"/>
          <w:lang w:val="en-US" w:eastAsia="zh-CN"/>
        </w:rPr>
        <w:t>剩余</w:t>
      </w:r>
      <w:r>
        <w:rPr>
          <w:rFonts w:hint="eastAsia" w:asciiTheme="majorEastAsia" w:hAnsiTheme="majorEastAsia" w:eastAsiaTheme="majorEastAsia" w:cstheme="majorEastAsia"/>
          <w:color w:val="FF0000"/>
          <w:szCs w:val="21"/>
          <w:u w:val="none"/>
          <w:lang w:val="en-US" w:eastAsia="zh-CN"/>
        </w:rPr>
        <w:t xml:space="preserve"> </w:t>
      </w:r>
      <w:r>
        <w:rPr>
          <w:rFonts w:hint="eastAsia" w:asciiTheme="majorEastAsia" w:hAnsiTheme="majorEastAsia" w:eastAsiaTheme="majorEastAsia" w:cstheme="majorEastAsia"/>
          <w:color w:val="FF0000"/>
          <w:szCs w:val="21"/>
          <w:u w:val="single"/>
          <w:lang w:val="en-US" w:eastAsia="zh-CN"/>
        </w:rPr>
        <w:t xml:space="preserve"> 5% </w:t>
      </w:r>
      <w:r>
        <w:rPr>
          <w:rFonts w:hint="eastAsia" w:asciiTheme="majorEastAsia" w:hAnsiTheme="majorEastAsia" w:eastAsiaTheme="majorEastAsia" w:cstheme="majorEastAsia"/>
          <w:color w:val="auto"/>
          <w:szCs w:val="21"/>
          <w:u w:val="none"/>
          <w:lang w:val="en-US" w:eastAsia="zh-CN"/>
        </w:rPr>
        <w:t>工程款待工程两年质保期满后一次付清（无息）。</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5、报价要求：</w:t>
      </w:r>
    </w:p>
    <w:p>
      <w:pPr>
        <w:spacing w:line="360" w:lineRule="auto"/>
        <w:ind w:firstLine="422" w:firstLineChars="200"/>
        <w:rPr>
          <w:rFonts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包括但不限于按照我公司提供的询价文件保质保量按我公司要求完成施工、运输、验收直至移交的所有相关工作内容，及作业环境保洁、有关施工技术措施、与现场内外各方面的协调等工程施工过程中所需发生的人工、机械、材料、</w:t>
      </w:r>
      <w:r>
        <w:rPr>
          <w:rFonts w:hint="eastAsia" w:asciiTheme="majorEastAsia" w:hAnsiTheme="majorEastAsia" w:eastAsiaTheme="majorEastAsia" w:cstheme="majorEastAsia"/>
          <w:b/>
          <w:szCs w:val="21"/>
          <w:lang w:eastAsia="zh-CN"/>
        </w:rPr>
        <w:t>规费、</w:t>
      </w:r>
      <w:r>
        <w:rPr>
          <w:rFonts w:hint="eastAsia" w:asciiTheme="majorEastAsia" w:hAnsiTheme="majorEastAsia" w:eastAsiaTheme="majorEastAsia" w:cstheme="majorEastAsia"/>
          <w:b/>
          <w:szCs w:val="21"/>
        </w:rPr>
        <w:t>措施费、管理费、利润、税金等一切费用。</w:t>
      </w:r>
    </w:p>
    <w:p>
      <w:pPr>
        <w:spacing w:line="360" w:lineRule="auto"/>
        <w:ind w:firstLine="420" w:firstLineChars="200"/>
        <w:rPr>
          <w:rFonts w:asciiTheme="majorEastAsia" w:hAnsiTheme="majorEastAsia" w:eastAsiaTheme="majorEastAsia" w:cstheme="majorEastAsia"/>
          <w:color w:val="C00000"/>
          <w:szCs w:val="21"/>
        </w:rPr>
      </w:pPr>
      <w:r>
        <w:rPr>
          <w:rFonts w:hint="eastAsia" w:asciiTheme="majorEastAsia" w:hAnsiTheme="majorEastAsia" w:eastAsiaTheme="majorEastAsia" w:cstheme="majorEastAsia"/>
          <w:color w:val="C00000"/>
          <w:szCs w:val="21"/>
        </w:rPr>
        <w:t>6、工程结算要求：</w:t>
      </w:r>
    </w:p>
    <w:p>
      <w:pPr>
        <w:spacing w:line="360" w:lineRule="auto"/>
        <w:rPr>
          <w:rFonts w:asciiTheme="majorEastAsia" w:hAnsiTheme="majorEastAsia" w:eastAsiaTheme="majorEastAsia" w:cstheme="majorEastAsia"/>
          <w:color w:val="C00000"/>
          <w:szCs w:val="21"/>
        </w:rPr>
      </w:pPr>
      <w:r>
        <w:rPr>
          <w:rFonts w:hint="eastAsia" w:cs="宋体" w:asciiTheme="minorEastAsia" w:hAnsiTheme="minorEastAsia" w:eastAsiaTheme="minorEastAsia"/>
          <w:bCs/>
          <w:color w:val="C00000"/>
          <w:sz w:val="24"/>
        </w:rPr>
        <w:t>验收合格后，以实际施工工程量按合同单价进行结算</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7、其他要求：</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7.1报价人需按我公司的要求编制工程施工方案，并及时报送与本工程有关的各种报表等资料。</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7.3报价人需服从我公司现场人员的统一指挥，按设计施工图和规范要求组织施工，确保工程质量和施工安全。</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7.4报价人保证施工现场符合文明施工的要求。</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7.5报价人需做好日常施工资料的收集整理工作，保证交工资料的完善准确。</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7.6报价人恶意串通报价的，报价文件按作废处理。报价人在签订合同施工全过程，我公司有权对报价人的人力、机械进行不定时监督检查，因报价人原因造成质量问题的，由报价人自行承担结果及所发生的费用。</w:t>
      </w:r>
    </w:p>
    <w:p>
      <w:pPr>
        <w:spacing w:line="360" w:lineRule="auto"/>
        <w:ind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eastAsia="zh-CN"/>
        </w:rPr>
        <w:t>四</w:t>
      </w:r>
      <w:r>
        <w:rPr>
          <w:rFonts w:hint="eastAsia" w:asciiTheme="majorEastAsia" w:hAnsiTheme="majorEastAsia" w:eastAsiaTheme="majorEastAsia" w:cstheme="majorEastAsia"/>
          <w:szCs w:val="21"/>
        </w:rPr>
        <w:t>、报价文件组成</w:t>
      </w:r>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1、《报价书》（详见</w:t>
      </w:r>
      <w:r>
        <w:rPr>
          <w:rFonts w:hint="eastAsia" w:asciiTheme="majorEastAsia" w:hAnsiTheme="majorEastAsia" w:eastAsiaTheme="majorEastAsia" w:cstheme="majorEastAsia"/>
          <w:szCs w:val="21"/>
          <w:lang w:eastAsia="zh-CN"/>
        </w:rPr>
        <w:t>询价</w:t>
      </w:r>
      <w:r>
        <w:rPr>
          <w:rFonts w:hint="eastAsia" w:asciiTheme="majorEastAsia" w:hAnsiTheme="majorEastAsia" w:eastAsiaTheme="majorEastAsia" w:cstheme="majorEastAsia"/>
          <w:szCs w:val="21"/>
        </w:rPr>
        <w:t>文件附件一）；</w:t>
      </w:r>
    </w:p>
    <w:p>
      <w:pPr>
        <w:spacing w:line="360" w:lineRule="auto"/>
        <w:ind w:left="120" w:leftChars="57"/>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2、《工程报价明细表》（报价人为准确报价若需要踏勘现场或者需要查阅有关图纸，请直接与现场负责人联系。）</w:t>
      </w:r>
    </w:p>
    <w:p>
      <w:pPr>
        <w:spacing w:line="360" w:lineRule="auto"/>
        <w:ind w:left="120" w:leftChars="57"/>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3、</w:t>
      </w:r>
      <w:r>
        <w:rPr>
          <w:rFonts w:hint="eastAsia" w:asciiTheme="majorEastAsia" w:hAnsiTheme="majorEastAsia" w:eastAsiaTheme="majorEastAsia" w:cstheme="majorEastAsia"/>
          <w:szCs w:val="21"/>
          <w:lang w:eastAsia="zh-CN"/>
        </w:rPr>
        <w:t>营业执照、企业资质及相关业绩</w:t>
      </w:r>
    </w:p>
    <w:p>
      <w:pPr>
        <w:spacing w:line="360" w:lineRule="auto"/>
        <w:ind w:left="120" w:leftChars="57"/>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4</w:t>
      </w:r>
      <w:r>
        <w:rPr>
          <w:rFonts w:hint="eastAsia" w:asciiTheme="majorEastAsia" w:hAnsiTheme="majorEastAsia" w:eastAsiaTheme="majorEastAsia" w:cstheme="majorEastAsia"/>
          <w:szCs w:val="21"/>
        </w:rPr>
        <w:t>、其他说明</w:t>
      </w:r>
    </w:p>
    <w:p>
      <w:pPr>
        <w:spacing w:line="360" w:lineRule="auto"/>
        <w:ind w:firstLine="411" w:firstLineChars="196"/>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lang w:eastAsia="zh-CN"/>
        </w:rPr>
        <w:t>五</w:t>
      </w:r>
      <w:r>
        <w:rPr>
          <w:rFonts w:hint="eastAsia" w:asciiTheme="majorEastAsia" w:hAnsiTheme="majorEastAsia" w:eastAsiaTheme="majorEastAsia" w:cstheme="majorEastAsia"/>
          <w:szCs w:val="21"/>
        </w:rPr>
        <w:t>、报价日程安排及相关事宜：</w:t>
      </w:r>
    </w:p>
    <w:p>
      <w:pPr>
        <w:spacing w:line="360" w:lineRule="auto"/>
        <w:ind w:left="120" w:leftChars="57"/>
        <w:rPr>
          <w:rFonts w:hint="eastAsia" w:ascii="宋体" w:hAnsi="宋体" w:eastAsia="宋体" w:cs="宋体"/>
          <w:color w:val="auto"/>
          <w:szCs w:val="21"/>
          <w:shd w:val="clear" w:color="auto" w:fill="auto"/>
        </w:rPr>
      </w:pPr>
      <w:r>
        <w:rPr>
          <w:rFonts w:hint="eastAsia" w:ascii="宋体" w:hAnsi="宋体" w:eastAsia="宋体" w:cs="宋体"/>
          <w:i w:val="0"/>
          <w:iCs w:val="0"/>
          <w:caps w:val="0"/>
          <w:color w:val="auto"/>
          <w:spacing w:val="0"/>
          <w:sz w:val="21"/>
          <w:szCs w:val="21"/>
          <w:shd w:val="clear" w:color="auto" w:fill="auto"/>
        </w:rPr>
        <w:t>1、在询价文件公布之日起，有意向报价方根据询价文件要求，定于</w:t>
      </w:r>
      <w:r>
        <w:rPr>
          <w:rFonts w:hint="eastAsia" w:ascii="宋体" w:hAnsi="宋体" w:eastAsia="宋体" w:cs="宋体"/>
          <w:i w:val="0"/>
          <w:iCs w:val="0"/>
          <w:caps w:val="0"/>
          <w:color w:val="auto"/>
          <w:spacing w:val="0"/>
          <w:sz w:val="21"/>
          <w:szCs w:val="21"/>
          <w:u w:val="single"/>
          <w:shd w:val="clear" w:color="auto" w:fill="auto"/>
        </w:rPr>
        <w:t>2023</w:t>
      </w:r>
      <w:r>
        <w:rPr>
          <w:rFonts w:hint="eastAsia" w:ascii="宋体" w:hAnsi="宋体" w:eastAsia="宋体" w:cs="宋体"/>
          <w:i w:val="0"/>
          <w:iCs w:val="0"/>
          <w:caps w:val="0"/>
          <w:color w:val="auto"/>
          <w:spacing w:val="0"/>
          <w:sz w:val="21"/>
          <w:szCs w:val="21"/>
          <w:shd w:val="clear" w:color="auto" w:fill="auto"/>
        </w:rPr>
        <w:t>年</w:t>
      </w:r>
      <w:r>
        <w:rPr>
          <w:rFonts w:hint="eastAsia" w:ascii="宋体" w:hAnsi="宋体" w:cs="宋体"/>
          <w:i w:val="0"/>
          <w:iCs w:val="0"/>
          <w:caps w:val="0"/>
          <w:color w:val="auto"/>
          <w:spacing w:val="0"/>
          <w:sz w:val="21"/>
          <w:szCs w:val="21"/>
          <w:u w:val="single"/>
          <w:shd w:val="clear" w:color="auto" w:fill="auto"/>
          <w:lang w:val="en-US" w:eastAsia="zh-CN"/>
        </w:rPr>
        <w:t>10</w:t>
      </w:r>
      <w:r>
        <w:rPr>
          <w:rFonts w:hint="eastAsia" w:ascii="宋体" w:hAnsi="宋体" w:eastAsia="宋体" w:cs="宋体"/>
          <w:i w:val="0"/>
          <w:iCs w:val="0"/>
          <w:caps w:val="0"/>
          <w:color w:val="auto"/>
          <w:spacing w:val="0"/>
          <w:sz w:val="21"/>
          <w:szCs w:val="21"/>
          <w:shd w:val="clear" w:color="auto" w:fill="auto"/>
        </w:rPr>
        <w:t>月</w:t>
      </w:r>
      <w:r>
        <w:rPr>
          <w:rFonts w:hint="eastAsia" w:ascii="宋体" w:hAnsi="宋体" w:cs="宋体"/>
          <w:i w:val="0"/>
          <w:iCs w:val="0"/>
          <w:caps w:val="0"/>
          <w:color w:val="auto"/>
          <w:spacing w:val="0"/>
          <w:sz w:val="21"/>
          <w:szCs w:val="21"/>
          <w:u w:val="single"/>
          <w:shd w:val="clear" w:color="auto" w:fill="auto"/>
          <w:lang w:val="en-US" w:eastAsia="zh-CN"/>
        </w:rPr>
        <w:t>16</w:t>
      </w:r>
      <w:r>
        <w:rPr>
          <w:rFonts w:hint="eastAsia" w:ascii="宋体" w:hAnsi="宋体" w:eastAsia="宋体" w:cs="宋体"/>
          <w:i w:val="0"/>
          <w:iCs w:val="0"/>
          <w:caps w:val="0"/>
          <w:color w:val="auto"/>
          <w:spacing w:val="0"/>
          <w:sz w:val="21"/>
          <w:szCs w:val="21"/>
          <w:shd w:val="clear" w:color="auto" w:fill="auto"/>
        </w:rPr>
        <w:t>日当天</w:t>
      </w:r>
      <w:r>
        <w:rPr>
          <w:rFonts w:hint="eastAsia" w:ascii="宋体" w:hAnsi="宋体" w:eastAsia="宋体" w:cs="宋体"/>
          <w:i w:val="0"/>
          <w:iCs w:val="0"/>
          <w:caps w:val="0"/>
          <w:color w:val="auto"/>
          <w:spacing w:val="0"/>
          <w:sz w:val="21"/>
          <w:szCs w:val="21"/>
          <w:u w:val="single"/>
          <w:shd w:val="clear" w:color="auto" w:fill="auto"/>
        </w:rPr>
        <w:t>10</w:t>
      </w:r>
      <w:r>
        <w:rPr>
          <w:rFonts w:hint="eastAsia" w:ascii="宋体" w:hAnsi="宋体" w:eastAsia="宋体" w:cs="宋体"/>
          <w:i w:val="0"/>
          <w:iCs w:val="0"/>
          <w:caps w:val="0"/>
          <w:color w:val="auto"/>
          <w:spacing w:val="0"/>
          <w:sz w:val="21"/>
          <w:szCs w:val="21"/>
          <w:shd w:val="clear" w:color="auto" w:fill="auto"/>
        </w:rPr>
        <w:t>时前，各报价单位把报价文件递交至</w:t>
      </w:r>
      <w:r>
        <w:rPr>
          <w:rFonts w:hint="eastAsia" w:ascii="宋体" w:hAnsi="宋体" w:cs="宋体"/>
          <w:i w:val="0"/>
          <w:iCs w:val="0"/>
          <w:caps w:val="0"/>
          <w:color w:val="auto"/>
          <w:spacing w:val="0"/>
          <w:sz w:val="21"/>
          <w:szCs w:val="21"/>
          <w:shd w:val="clear" w:color="auto" w:fill="auto"/>
          <w:lang w:eastAsia="zh-CN"/>
        </w:rPr>
        <w:t>淮南市能源数据中心及数字经济万创园</w:t>
      </w:r>
      <w:r>
        <w:rPr>
          <w:rFonts w:hint="eastAsia" w:ascii="宋体" w:hAnsi="宋体" w:cs="宋体"/>
          <w:i w:val="0"/>
          <w:iCs w:val="0"/>
          <w:caps w:val="0"/>
          <w:color w:val="auto"/>
          <w:spacing w:val="0"/>
          <w:sz w:val="21"/>
          <w:szCs w:val="21"/>
          <w:shd w:val="clear" w:color="auto" w:fill="auto"/>
          <w:lang w:val="en-US" w:eastAsia="zh-CN"/>
        </w:rPr>
        <w:t>-7#楼</w:t>
      </w:r>
      <w:r>
        <w:rPr>
          <w:rFonts w:hint="eastAsia" w:ascii="宋体" w:hAnsi="宋体" w:eastAsia="宋体" w:cs="宋体"/>
          <w:i w:val="0"/>
          <w:iCs w:val="0"/>
          <w:caps w:val="0"/>
          <w:color w:val="auto"/>
          <w:spacing w:val="0"/>
          <w:sz w:val="21"/>
          <w:szCs w:val="21"/>
          <w:shd w:val="clear" w:color="auto" w:fill="auto"/>
        </w:rPr>
        <w:t>项目部（</w:t>
      </w:r>
      <w:r>
        <w:rPr>
          <w:rFonts w:hint="eastAsia" w:ascii="宋体" w:hAnsi="宋体" w:cs="宋体"/>
          <w:i w:val="0"/>
          <w:iCs w:val="0"/>
          <w:caps w:val="0"/>
          <w:color w:val="auto"/>
          <w:spacing w:val="0"/>
          <w:sz w:val="21"/>
          <w:szCs w:val="21"/>
          <w:shd w:val="clear" w:color="auto" w:fill="auto"/>
          <w:lang w:eastAsia="zh-CN"/>
        </w:rPr>
        <w:t>智慧谷三号楼一楼</w:t>
      </w:r>
      <w:r>
        <w:rPr>
          <w:rFonts w:hint="eastAsia" w:ascii="宋体" w:hAnsi="宋体" w:eastAsia="宋体" w:cs="宋体"/>
          <w:i w:val="0"/>
          <w:iCs w:val="0"/>
          <w:caps w:val="0"/>
          <w:color w:val="auto"/>
          <w:spacing w:val="0"/>
          <w:sz w:val="21"/>
          <w:szCs w:val="21"/>
          <w:shd w:val="clear" w:color="auto" w:fill="auto"/>
        </w:rPr>
        <w:t>），逾期送达的报价文件被拒绝。</w:t>
      </w:r>
      <w:r>
        <w:rPr>
          <w:rFonts w:hint="eastAsia" w:ascii="宋体" w:hAnsi="宋体" w:eastAsia="宋体" w:cs="宋体"/>
          <w:i w:val="0"/>
          <w:iCs w:val="0"/>
          <w:caps w:val="0"/>
          <w:color w:val="auto"/>
          <w:spacing w:val="0"/>
          <w:sz w:val="21"/>
          <w:szCs w:val="21"/>
          <w:u w:val="single"/>
          <w:shd w:val="clear" w:color="auto" w:fill="auto"/>
        </w:rPr>
        <w:t>2023</w:t>
      </w:r>
      <w:r>
        <w:rPr>
          <w:rFonts w:hint="eastAsia" w:ascii="宋体" w:hAnsi="宋体" w:eastAsia="宋体" w:cs="宋体"/>
          <w:i w:val="0"/>
          <w:iCs w:val="0"/>
          <w:caps w:val="0"/>
          <w:color w:val="auto"/>
          <w:spacing w:val="0"/>
          <w:sz w:val="21"/>
          <w:szCs w:val="21"/>
          <w:shd w:val="clear" w:color="auto" w:fill="auto"/>
        </w:rPr>
        <w:t>年</w:t>
      </w:r>
      <w:r>
        <w:rPr>
          <w:rFonts w:hint="eastAsia" w:ascii="宋体" w:hAnsi="宋体" w:cs="宋体"/>
          <w:i w:val="0"/>
          <w:iCs w:val="0"/>
          <w:caps w:val="0"/>
          <w:color w:val="auto"/>
          <w:spacing w:val="0"/>
          <w:sz w:val="21"/>
          <w:szCs w:val="21"/>
          <w:u w:val="single"/>
          <w:shd w:val="clear" w:color="auto" w:fill="auto"/>
          <w:lang w:val="en-US" w:eastAsia="zh-CN"/>
        </w:rPr>
        <w:t>10</w:t>
      </w:r>
      <w:r>
        <w:rPr>
          <w:rFonts w:hint="eastAsia" w:ascii="宋体" w:hAnsi="宋体" w:eastAsia="宋体" w:cs="宋体"/>
          <w:i w:val="0"/>
          <w:iCs w:val="0"/>
          <w:caps w:val="0"/>
          <w:color w:val="auto"/>
          <w:spacing w:val="0"/>
          <w:sz w:val="21"/>
          <w:szCs w:val="21"/>
          <w:shd w:val="clear" w:color="auto" w:fill="auto"/>
        </w:rPr>
        <w:t>月</w:t>
      </w:r>
      <w:r>
        <w:rPr>
          <w:rFonts w:hint="eastAsia" w:ascii="宋体" w:hAnsi="宋体" w:cs="宋体"/>
          <w:i w:val="0"/>
          <w:iCs w:val="0"/>
          <w:caps w:val="0"/>
          <w:color w:val="auto"/>
          <w:spacing w:val="0"/>
          <w:sz w:val="21"/>
          <w:szCs w:val="21"/>
          <w:u w:val="single"/>
          <w:shd w:val="clear" w:color="auto" w:fill="auto"/>
          <w:lang w:val="en-US" w:eastAsia="zh-CN"/>
        </w:rPr>
        <w:t>16</w:t>
      </w:r>
      <w:bookmarkStart w:id="0" w:name="_GoBack"/>
      <w:bookmarkEnd w:id="0"/>
      <w:r>
        <w:rPr>
          <w:rFonts w:hint="eastAsia" w:ascii="宋体" w:hAnsi="宋体" w:eastAsia="宋体" w:cs="宋体"/>
          <w:i w:val="0"/>
          <w:iCs w:val="0"/>
          <w:caps w:val="0"/>
          <w:color w:val="auto"/>
          <w:spacing w:val="0"/>
          <w:sz w:val="21"/>
          <w:szCs w:val="21"/>
          <w:shd w:val="clear" w:color="auto" w:fill="auto"/>
        </w:rPr>
        <w:t>日</w:t>
      </w:r>
      <w:r>
        <w:rPr>
          <w:rFonts w:hint="eastAsia" w:ascii="宋体" w:hAnsi="宋体" w:eastAsia="宋体" w:cs="宋体"/>
          <w:i w:val="0"/>
          <w:iCs w:val="0"/>
          <w:caps w:val="0"/>
          <w:color w:val="auto"/>
          <w:spacing w:val="0"/>
          <w:sz w:val="21"/>
          <w:szCs w:val="21"/>
          <w:u w:val="single"/>
          <w:shd w:val="clear" w:color="auto" w:fill="auto"/>
        </w:rPr>
        <w:t>10</w:t>
      </w:r>
      <w:r>
        <w:rPr>
          <w:rFonts w:hint="eastAsia" w:ascii="宋体" w:hAnsi="宋体" w:eastAsia="宋体" w:cs="宋体"/>
          <w:i w:val="0"/>
          <w:iCs w:val="0"/>
          <w:caps w:val="0"/>
          <w:color w:val="auto"/>
          <w:spacing w:val="0"/>
          <w:sz w:val="21"/>
          <w:szCs w:val="21"/>
          <w:shd w:val="clear" w:color="auto" w:fill="auto"/>
        </w:rPr>
        <w:t>时当众开启各方报价文件。</w:t>
      </w:r>
    </w:p>
    <w:p>
      <w:pPr>
        <w:spacing w:line="360" w:lineRule="auto"/>
        <w:ind w:left="120" w:leftChars="57"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六、报价其他说明：</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1</w:t>
      </w:r>
      <w:r>
        <w:rPr>
          <w:rFonts w:hint="eastAsia" w:asciiTheme="majorEastAsia" w:hAnsiTheme="majorEastAsia" w:eastAsiaTheme="majorEastAsia" w:cstheme="majorEastAsia"/>
          <w:szCs w:val="21"/>
        </w:rPr>
        <w:t>、报价人在报价截止日前必须缴纳</w:t>
      </w:r>
      <w:r>
        <w:rPr>
          <w:rFonts w:hint="eastAsia" w:asciiTheme="majorEastAsia" w:hAnsiTheme="majorEastAsia" w:eastAsiaTheme="majorEastAsia" w:cstheme="majorEastAsia"/>
          <w:color w:val="C00000"/>
          <w:szCs w:val="21"/>
          <w:u w:val="single"/>
          <w:lang w:val="en-US" w:eastAsia="zh-CN"/>
        </w:rPr>
        <w:t>2</w:t>
      </w:r>
      <w:r>
        <w:rPr>
          <w:rFonts w:hint="eastAsia" w:asciiTheme="majorEastAsia" w:hAnsiTheme="majorEastAsia" w:eastAsiaTheme="majorEastAsia" w:cstheme="majorEastAsia"/>
          <w:szCs w:val="21"/>
        </w:rPr>
        <w:t>万元报价保证金，报价保证金汇缴及退付以转账形式进行。报价保证金款项必须从报价人的账户中汇出。报价保证金人民币</w:t>
      </w:r>
      <w:r>
        <w:rPr>
          <w:rFonts w:hint="eastAsia" w:asciiTheme="majorEastAsia" w:hAnsiTheme="majorEastAsia" w:eastAsiaTheme="majorEastAsia" w:cstheme="majorEastAsia"/>
          <w:color w:val="C00000"/>
          <w:szCs w:val="21"/>
          <w:u w:val="single"/>
          <w:lang w:val="en-US" w:eastAsia="zh-CN"/>
        </w:rPr>
        <w:t>2</w:t>
      </w:r>
      <w:r>
        <w:rPr>
          <w:rFonts w:hint="eastAsia" w:asciiTheme="majorEastAsia" w:hAnsiTheme="majorEastAsia" w:eastAsiaTheme="majorEastAsia" w:cstheme="majorEastAsia"/>
          <w:szCs w:val="21"/>
        </w:rPr>
        <w:t>万元必须在报价截止日前到达安徽新集建设工程有限公司银行账户。</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名称：安徽新集矿山建设工程有限公司</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账号：181205791225  </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开户行：中国银行淮南新集支行</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地址：淮南市毛集实验区工业园区</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如未签约，询价方将在报价截止日后7个工作日内退还报价人报价保证金</w:t>
      </w:r>
      <w:r>
        <w:rPr>
          <w:rFonts w:hint="eastAsia" w:asciiTheme="majorEastAsia" w:hAnsiTheme="majorEastAsia" w:eastAsiaTheme="majorEastAsia" w:cstheme="majorEastAsia"/>
          <w:color w:val="C00000"/>
          <w:szCs w:val="21"/>
          <w:u w:val="single"/>
          <w:lang w:val="en-US" w:eastAsia="zh-CN"/>
        </w:rPr>
        <w:t>2</w:t>
      </w:r>
      <w:r>
        <w:rPr>
          <w:rFonts w:hint="eastAsia" w:asciiTheme="majorEastAsia" w:hAnsiTheme="majorEastAsia" w:eastAsiaTheme="majorEastAsia" w:cstheme="majorEastAsia"/>
          <w:szCs w:val="21"/>
        </w:rPr>
        <w:t>万元。</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3、报价人必须认真</w:t>
      </w:r>
      <w:r>
        <w:rPr>
          <w:rFonts w:hint="eastAsia" w:asciiTheme="majorEastAsia" w:hAnsiTheme="majorEastAsia" w:eastAsiaTheme="majorEastAsia" w:cstheme="majorEastAsia"/>
          <w:szCs w:val="21"/>
          <w:lang w:eastAsia="zh-CN"/>
        </w:rPr>
        <w:t>看清</w:t>
      </w:r>
      <w:r>
        <w:rPr>
          <w:rFonts w:hint="eastAsia" w:asciiTheme="majorEastAsia" w:hAnsiTheme="majorEastAsia" w:eastAsiaTheme="majorEastAsia" w:cstheme="majorEastAsia"/>
          <w:szCs w:val="21"/>
        </w:rPr>
        <w:t>询价文件</w:t>
      </w:r>
      <w:r>
        <w:rPr>
          <w:rFonts w:hint="eastAsia" w:asciiTheme="majorEastAsia" w:hAnsiTheme="majorEastAsia" w:eastAsiaTheme="majorEastAsia" w:cstheme="majorEastAsia"/>
          <w:szCs w:val="21"/>
          <w:lang w:eastAsia="zh-CN"/>
        </w:rPr>
        <w:t>要求</w:t>
      </w:r>
      <w:r>
        <w:rPr>
          <w:rFonts w:hint="eastAsia" w:asciiTheme="majorEastAsia" w:hAnsiTheme="majorEastAsia" w:eastAsiaTheme="majorEastAsia" w:cstheme="majorEastAsia"/>
          <w:szCs w:val="21"/>
        </w:rPr>
        <w:t>，确定是否与承包范围相符，如有任何缺漏、字迹不清楚等，报价人必须立即通知我公司，以便纠正上述的缺漏、字迹不清楚等。</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4、报价人不得在未经授权之前对询价文件的内容作任何修改或删节，否则其报价文件将作废而不被接受。</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5、报价人须将上述报价文件放入密封的封袋。</w:t>
      </w:r>
    </w:p>
    <w:p>
      <w:pPr>
        <w:spacing w:line="360" w:lineRule="auto"/>
        <w:ind w:left="120" w:leftChars="57" w:firstLine="315" w:firstLineChars="15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6、不论报价人的报价结果如何，报价人应自行承担报价所发生的任何费用。</w:t>
      </w:r>
    </w:p>
    <w:p>
      <w:pPr>
        <w:spacing w:line="360" w:lineRule="auto"/>
        <w:ind w:left="120" w:leftChars="57" w:firstLine="315" w:firstLineChars="150"/>
        <w:rPr>
          <w:rFonts w:asciiTheme="majorEastAsia" w:hAnsiTheme="majorEastAsia" w:eastAsiaTheme="majorEastAsia" w:cstheme="majorEastAsia"/>
          <w:color w:val="000000" w:themeColor="text1"/>
          <w:szCs w:val="21"/>
          <w14:textFill>
            <w14:solidFill>
              <w14:schemeClr w14:val="tx1"/>
            </w14:solidFill>
          </w14:textFill>
        </w:rPr>
      </w:pPr>
      <w:r>
        <w:rPr>
          <w:rFonts w:hint="eastAsia" w:asciiTheme="majorEastAsia" w:hAnsiTheme="majorEastAsia" w:eastAsiaTheme="majorEastAsia" w:cstheme="majorEastAsia"/>
          <w:color w:val="000000" w:themeColor="text1"/>
          <w:szCs w:val="21"/>
          <w14:textFill>
            <w14:solidFill>
              <w14:schemeClr w14:val="tx1"/>
            </w14:solidFill>
          </w14:textFill>
        </w:rPr>
        <w:t>七、询价声明：</w:t>
      </w:r>
    </w:p>
    <w:p>
      <w:pPr>
        <w:spacing w:line="360" w:lineRule="auto"/>
        <w:ind w:left="640" w:leftChars="255" w:hanging="105" w:hangingChars="50"/>
        <w:rPr>
          <w:rFonts w:asciiTheme="majorEastAsia" w:hAnsiTheme="majorEastAsia" w:eastAsiaTheme="majorEastAsia" w:cstheme="majorEastAsia"/>
          <w:color w:val="000000" w:themeColor="text1"/>
          <w:szCs w:val="21"/>
          <w14:textFill>
            <w14:solidFill>
              <w14:schemeClr w14:val="tx1"/>
            </w14:solidFill>
          </w14:textFill>
        </w:rPr>
      </w:pPr>
      <w:r>
        <w:rPr>
          <w:rFonts w:hint="eastAsia" w:asciiTheme="majorEastAsia" w:hAnsiTheme="majorEastAsia" w:eastAsiaTheme="majorEastAsia" w:cstheme="majorEastAsia"/>
          <w:color w:val="000000" w:themeColor="text1"/>
          <w:szCs w:val="21"/>
          <w14:textFill>
            <w14:solidFill>
              <w14:schemeClr w14:val="tx1"/>
            </w14:solidFill>
          </w14:textFill>
        </w:rPr>
        <w:t>1、本次询价，询价人设有最高控制价并在选定报价时公布，超过最高限价的报价将被否定。询价人不保证最低报价为</w:t>
      </w:r>
      <w:r>
        <w:rPr>
          <w:rFonts w:hint="eastAsia" w:asciiTheme="majorEastAsia" w:hAnsiTheme="majorEastAsia" w:eastAsiaTheme="majorEastAsia" w:cstheme="majorEastAsia"/>
          <w:color w:val="000000" w:themeColor="text1"/>
          <w:szCs w:val="21"/>
          <w:lang w:eastAsia="zh-CN"/>
          <w14:textFill>
            <w14:solidFill>
              <w14:schemeClr w14:val="tx1"/>
            </w14:solidFill>
          </w14:textFill>
        </w:rPr>
        <w:t>定价</w:t>
      </w:r>
      <w:r>
        <w:rPr>
          <w:rFonts w:hint="eastAsia" w:asciiTheme="majorEastAsia" w:hAnsiTheme="majorEastAsia" w:eastAsiaTheme="majorEastAsia" w:cstheme="majorEastAsia"/>
          <w:color w:val="000000" w:themeColor="text1"/>
          <w:szCs w:val="21"/>
          <w14:textFill>
            <w14:solidFill>
              <w14:schemeClr w14:val="tx1"/>
            </w14:solidFill>
          </w14:textFill>
        </w:rPr>
        <w:t>。询价人无需对</w:t>
      </w:r>
      <w:r>
        <w:rPr>
          <w:rFonts w:hint="eastAsia" w:asciiTheme="majorEastAsia" w:hAnsiTheme="majorEastAsia" w:eastAsiaTheme="majorEastAsia" w:cstheme="majorEastAsia"/>
          <w:color w:val="000000" w:themeColor="text1"/>
          <w:szCs w:val="21"/>
          <w:lang w:eastAsia="zh-CN"/>
          <w14:textFill>
            <w14:solidFill>
              <w14:schemeClr w14:val="tx1"/>
            </w14:solidFill>
          </w14:textFill>
        </w:rPr>
        <w:t>询价</w:t>
      </w:r>
      <w:r>
        <w:rPr>
          <w:rFonts w:hint="eastAsia" w:asciiTheme="majorEastAsia" w:hAnsiTheme="majorEastAsia" w:eastAsiaTheme="majorEastAsia" w:cstheme="majorEastAsia"/>
          <w:color w:val="000000" w:themeColor="text1"/>
          <w:szCs w:val="21"/>
          <w14:textFill>
            <w14:solidFill>
              <w14:schemeClr w14:val="tx1"/>
            </w14:solidFill>
          </w14:textFill>
        </w:rPr>
        <w:t>合理性向任何报价人作出解释。</w:t>
      </w:r>
    </w:p>
    <w:p>
      <w:pPr>
        <w:spacing w:line="360" w:lineRule="auto"/>
        <w:ind w:left="330" w:leftChars="157" w:firstLine="105" w:firstLineChars="5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color w:val="FF0000"/>
          <w:szCs w:val="21"/>
        </w:rPr>
        <w:t>2、我公司对本询价问价具有解释权。</w:t>
      </w:r>
    </w:p>
    <w:p>
      <w:pPr>
        <w:spacing w:line="360" w:lineRule="auto"/>
        <w:ind w:left="329" w:leftChars="68" w:hanging="186" w:hangingChars="89"/>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附件:1：《报价书》</w:t>
      </w:r>
    </w:p>
    <w:p>
      <w:pPr>
        <w:spacing w:line="360" w:lineRule="auto"/>
        <w:ind w:firstLine="140" w:firstLineChars="67"/>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附件2：《工程报价明细表》</w:t>
      </w:r>
    </w:p>
    <w:p>
      <w:pPr>
        <w:spacing w:line="360" w:lineRule="auto"/>
        <w:ind w:firstLine="140" w:firstLineChars="67"/>
        <w:rPr>
          <w:rFonts w:hint="default"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lang w:eastAsia="zh-CN"/>
        </w:rPr>
        <w:t>附件</w:t>
      </w:r>
      <w:r>
        <w:rPr>
          <w:rFonts w:hint="eastAsia" w:asciiTheme="majorEastAsia" w:hAnsiTheme="majorEastAsia" w:eastAsiaTheme="majorEastAsia" w:cstheme="majorEastAsia"/>
          <w:szCs w:val="21"/>
          <w:lang w:val="en-US" w:eastAsia="zh-CN"/>
        </w:rPr>
        <w:t>3：《法人授权委托书》</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询价方名称：安徽新集矿山建设工程有限公司</w:t>
      </w:r>
    </w:p>
    <w:p>
      <w:pPr>
        <w:tabs>
          <w:tab w:val="left" w:pos="2610"/>
        </w:tabs>
        <w:spacing w:line="440" w:lineRule="exact"/>
        <w:ind w:right="-153" w:rightChars="-73"/>
        <w:rPr>
          <w:rFonts w:hint="eastAsia" w:asciiTheme="majorEastAsia" w:hAnsiTheme="majorEastAsia" w:eastAsiaTheme="majorEastAsia" w:cstheme="majorEastAsia"/>
          <w:szCs w:val="21"/>
          <w:lang w:eastAsia="zh-CN"/>
        </w:rPr>
      </w:pPr>
      <w:r>
        <w:rPr>
          <w:rFonts w:hint="eastAsia" w:asciiTheme="majorEastAsia" w:hAnsiTheme="majorEastAsia" w:eastAsiaTheme="majorEastAsia" w:cstheme="majorEastAsia"/>
          <w:szCs w:val="21"/>
        </w:rPr>
        <w:t>地 址：淮南</w:t>
      </w:r>
      <w:r>
        <w:rPr>
          <w:rFonts w:hint="eastAsia" w:asciiTheme="majorEastAsia" w:hAnsiTheme="majorEastAsia" w:eastAsiaTheme="majorEastAsia" w:cstheme="majorEastAsia"/>
          <w:szCs w:val="21"/>
          <w:lang w:eastAsia="zh-CN"/>
        </w:rPr>
        <w:t>市田家庵区新舜大厦</w:t>
      </w:r>
    </w:p>
    <w:p>
      <w:pPr>
        <w:tabs>
          <w:tab w:val="left" w:pos="2610"/>
        </w:tabs>
        <w:spacing w:line="440" w:lineRule="exact"/>
        <w:ind w:right="-153" w:rightChars="-73"/>
        <w:rPr>
          <w:rFonts w:hint="default"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rPr>
        <w:t>联系人：</w:t>
      </w:r>
      <w:r>
        <w:rPr>
          <w:rFonts w:hint="eastAsia" w:asciiTheme="majorEastAsia" w:hAnsiTheme="majorEastAsia" w:eastAsiaTheme="majorEastAsia" w:cstheme="majorEastAsia"/>
          <w:szCs w:val="21"/>
          <w:lang w:eastAsia="zh-CN"/>
        </w:rPr>
        <w:t>王磊、孙志明</w:t>
      </w:r>
    </w:p>
    <w:p>
      <w:pPr>
        <w:tabs>
          <w:tab w:val="left" w:pos="2610"/>
        </w:tabs>
        <w:spacing w:line="440" w:lineRule="exact"/>
        <w:ind w:right="-153" w:rightChars="-73"/>
        <w:rPr>
          <w:rFonts w:hint="default"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rPr>
        <w:t>联系电话：</w:t>
      </w:r>
      <w:r>
        <w:rPr>
          <w:rFonts w:hint="eastAsia" w:asciiTheme="majorEastAsia" w:hAnsiTheme="majorEastAsia" w:eastAsiaTheme="majorEastAsia" w:cstheme="majorEastAsia"/>
          <w:szCs w:val="21"/>
          <w:lang w:val="en-US" w:eastAsia="zh-CN"/>
        </w:rPr>
        <w:t>17855442472、17855444451</w:t>
      </w: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hint="eastAsia"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附件1：</w:t>
      </w:r>
      <w:r>
        <w:rPr>
          <w:rFonts w:hint="eastAsia" w:asciiTheme="majorEastAsia" w:hAnsiTheme="majorEastAsia" w:eastAsiaTheme="majorEastAsia" w:cstheme="majorEastAsia"/>
          <w:szCs w:val="21"/>
        </w:rPr>
        <w:tab/>
      </w:r>
    </w:p>
    <w:p>
      <w:pPr>
        <w:spacing w:line="44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　 价 　书</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安徽新集矿山建设工程有限公司：</w:t>
      </w:r>
    </w:p>
    <w:p>
      <w:pPr>
        <w:numPr>
          <w:ilvl w:val="0"/>
          <w:numId w:val="1"/>
        </w:numPr>
        <w:tabs>
          <w:tab w:val="clear" w:pos="1320"/>
        </w:tabs>
        <w:spacing w:line="360" w:lineRule="auto"/>
        <w:ind w:left="480" w:hanging="6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eastAsia="zh-CN"/>
        </w:rPr>
        <w:t>淮南市能源数据中心及数字经济万创园</w:t>
      </w:r>
      <w:r>
        <w:rPr>
          <w:rFonts w:hint="eastAsia" w:asciiTheme="majorEastAsia" w:hAnsiTheme="majorEastAsia" w:eastAsiaTheme="majorEastAsia" w:cstheme="majorEastAsia"/>
          <w:szCs w:val="21"/>
          <w:lang w:val="en-US" w:eastAsia="zh-CN"/>
        </w:rPr>
        <w:t>-7#楼楼梯栏杆等</w:t>
      </w:r>
      <w:r>
        <w:rPr>
          <w:rFonts w:hint="eastAsia" w:asciiTheme="majorEastAsia" w:hAnsiTheme="majorEastAsia" w:eastAsiaTheme="majorEastAsia" w:cstheme="majorEastAsia"/>
          <w:szCs w:val="21"/>
          <w:lang w:eastAsia="zh-CN"/>
        </w:rPr>
        <w:t>护栏工程</w:t>
      </w:r>
      <w:r>
        <w:rPr>
          <w:rFonts w:hint="eastAsia" w:asciiTheme="majorEastAsia" w:hAnsiTheme="majorEastAsia" w:eastAsiaTheme="majorEastAsia" w:cstheme="majorEastAsia"/>
          <w:szCs w:val="21"/>
        </w:rPr>
        <w:t>询价文件，我单位经考察现场和研究上述工程询价文件后，我方报价如下：</w:t>
      </w:r>
    </w:p>
    <w:tbl>
      <w:tblPr>
        <w:tblStyle w:val="17"/>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序号</w:t>
            </w:r>
          </w:p>
        </w:tc>
        <w:tc>
          <w:tcPr>
            <w:tcW w:w="2015"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项目名称</w:t>
            </w:r>
          </w:p>
        </w:tc>
        <w:tc>
          <w:tcPr>
            <w:tcW w:w="6227"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最终报价</w:t>
            </w:r>
          </w:p>
        </w:tc>
        <w:tc>
          <w:tcPr>
            <w:tcW w:w="6227" w:type="dxa"/>
            <w:shd w:val="clear" w:color="auto" w:fill="auto"/>
            <w:noWrap/>
            <w:vAlign w:val="center"/>
          </w:tcPr>
          <w:p>
            <w:pPr>
              <w:widowControl/>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小写：                大写：</w:t>
            </w:r>
          </w:p>
          <w:p>
            <w:pPr>
              <w:widowControl/>
              <w:rPr>
                <w:rFonts w:hint="default" w:asciiTheme="majorEastAsia" w:hAnsiTheme="majorEastAsia" w:eastAsiaTheme="majorEastAsia" w:cstheme="majorEastAsia"/>
                <w:szCs w:val="21"/>
                <w:u w:val="single"/>
                <w:lang w:val="en-US" w:eastAsia="zh-CN"/>
              </w:rPr>
            </w:pPr>
            <w:r>
              <w:rPr>
                <w:rFonts w:hint="eastAsia" w:asciiTheme="majorEastAsia" w:hAnsiTheme="majorEastAsia" w:eastAsiaTheme="majorEastAsia" w:cstheme="majorEastAsia"/>
                <w:szCs w:val="21"/>
                <w:lang w:eastAsia="zh-CN"/>
              </w:rPr>
              <w:t>增值税专用发票</w:t>
            </w:r>
            <w:r>
              <w:rPr>
                <w:rFonts w:hint="eastAsia" w:asciiTheme="majorEastAsia" w:hAnsiTheme="majorEastAsia" w:eastAsiaTheme="majorEastAsia" w:cstheme="majorEastAsia"/>
                <w:szCs w:val="21"/>
                <w:u w:val="single"/>
                <w:lang w:val="en-US" w:eastAsia="zh-CN"/>
              </w:rPr>
              <w:t xml:space="preserve">     </w:t>
            </w:r>
            <w:r>
              <w:rPr>
                <w:rFonts w:hint="eastAsia" w:asciiTheme="majorEastAsia" w:hAnsiTheme="majorEastAsia" w:eastAsiaTheme="majorEastAsia" w:cstheme="majorEastAsia"/>
                <w:szCs w:val="21"/>
                <w:u w:val="none"/>
                <w:lang w:val="en-US" w:eastAsia="zh-CN"/>
              </w:rPr>
              <w:t>%</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  期</w:t>
            </w:r>
          </w:p>
        </w:tc>
        <w:tc>
          <w:tcPr>
            <w:tcW w:w="6227"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工期：</w:t>
            </w:r>
            <w:r>
              <w:rPr>
                <w:rFonts w:hint="eastAsia" w:asciiTheme="majorEastAsia" w:hAnsiTheme="majorEastAsia" w:eastAsiaTheme="majorEastAsia" w:cstheme="majorEastAsia"/>
                <w:szCs w:val="21"/>
                <w:lang w:val="en-US" w:eastAsia="zh-CN"/>
              </w:rPr>
              <w:t>30</w:t>
            </w:r>
            <w:r>
              <w:rPr>
                <w:rFonts w:hint="eastAsia" w:asciiTheme="majorEastAsia" w:hAnsiTheme="majorEastAsia" w:eastAsiaTheme="majorEastAsia" w:cstheme="majorEastAsia"/>
                <w:szCs w:val="21"/>
              </w:rPr>
              <w:t>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4"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报价说明</w:t>
            </w:r>
          </w:p>
        </w:tc>
        <w:tc>
          <w:tcPr>
            <w:tcW w:w="6227" w:type="dxa"/>
            <w:shd w:val="clear" w:color="auto" w:fill="auto"/>
            <w:noWrap/>
            <w:vAlign w:val="center"/>
          </w:tcPr>
          <w:p>
            <w:pPr>
              <w:widowControl/>
              <w:rPr>
                <w:rFonts w:asciiTheme="majorEastAsia" w:hAnsiTheme="majorEastAsia" w:eastAsiaTheme="majorEastAsia" w:cstheme="majorEastAsia"/>
                <w:szCs w:val="21"/>
              </w:rPr>
            </w:pPr>
          </w:p>
        </w:tc>
      </w:tr>
    </w:tbl>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以上总价内包括完成本分包工程内的人</w:t>
      </w:r>
      <w:r>
        <w:rPr>
          <w:rFonts w:hint="eastAsia" w:asciiTheme="majorEastAsia" w:hAnsiTheme="majorEastAsia" w:eastAsiaTheme="majorEastAsia" w:cstheme="majorEastAsia"/>
          <w:szCs w:val="21"/>
          <w:lang w:eastAsia="zh-CN"/>
        </w:rPr>
        <w:t>材机费用</w:t>
      </w:r>
      <w:r>
        <w:rPr>
          <w:rFonts w:hint="eastAsia" w:asciiTheme="majorEastAsia" w:hAnsiTheme="majorEastAsia" w:eastAsiaTheme="majorEastAsia" w:cstheme="majorEastAsia"/>
          <w:szCs w:val="21"/>
        </w:rPr>
        <w:t>、管理费、水电费、利润、税金、技术措施费、机械进出场费、安全文明施工费</w:t>
      </w:r>
      <w:r>
        <w:rPr>
          <w:rFonts w:hint="eastAsia" w:asciiTheme="majorEastAsia" w:hAnsiTheme="majorEastAsia" w:eastAsiaTheme="majorEastAsia" w:cstheme="majorEastAsia"/>
          <w:color w:val="000000"/>
          <w:szCs w:val="21"/>
        </w:rPr>
        <w:t>包原材料及成品试验资料齐全验收合格</w:t>
      </w:r>
      <w:r>
        <w:rPr>
          <w:rFonts w:hint="eastAsia" w:asciiTheme="majorEastAsia" w:hAnsiTheme="majorEastAsia" w:eastAsiaTheme="majorEastAsia" w:cstheme="majorEastAsia"/>
          <w:szCs w:val="21"/>
        </w:rPr>
        <w:t>等一切费用。</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2、本报价已包括完成施工所需的全部费用。报价为</w:t>
      </w:r>
      <w:r>
        <w:rPr>
          <w:rFonts w:hint="eastAsia" w:cs="宋体" w:asciiTheme="minorEastAsia" w:hAnsiTheme="minorEastAsia" w:eastAsiaTheme="minorEastAsia"/>
          <w:bCs/>
          <w:sz w:val="24"/>
          <w:u w:val="single"/>
        </w:rPr>
        <w:t>合同单价</w:t>
      </w:r>
      <w:r>
        <w:rPr>
          <w:rFonts w:hint="eastAsia" w:asciiTheme="majorEastAsia" w:hAnsiTheme="majorEastAsia" w:eastAsiaTheme="majorEastAsia" w:cstheme="majorEastAsia"/>
          <w:szCs w:val="21"/>
        </w:rPr>
        <w:t>。</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3、按询价文件要求承包上述工程的施工、竣工。</w:t>
      </w:r>
    </w:p>
    <w:p>
      <w:pPr>
        <w:spacing w:line="360" w:lineRule="auto"/>
        <w:ind w:firstLine="420" w:firstLineChars="20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szCs w:val="21"/>
        </w:rPr>
        <w:t>4、</w:t>
      </w:r>
      <w:r>
        <w:rPr>
          <w:rFonts w:hint="eastAsia" w:asciiTheme="majorEastAsia" w:hAnsiTheme="majorEastAsia" w:eastAsiaTheme="majorEastAsia" w:cstheme="majorEastAsia"/>
          <w:color w:val="FF0000"/>
          <w:szCs w:val="21"/>
        </w:rPr>
        <w:t>工期及质量承诺：一旦我方被选定，我方保证按照询价方工期要求完工，并确保工程质量符合设计图纸及规范要求。推迟工期7天以内，按200元/天进行罚款，推迟超过7天，按500元/天进行处罚。</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5、如果我方被选中，我方将按照规定在签订合同前提交报价总价的5%履约保证金或履约保函。如果我方违约，我方同意将履约保证金作为违约金的一部分，你方有权不予返还。</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报价单位：（盖章）</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单位地址：</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法定代表人：（签字、盖章）</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授权委托人：</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电话、传真：</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开户银行名称、帐号：</w:t>
      </w:r>
    </w:p>
    <w:p>
      <w:pPr>
        <w:spacing w:after="100" w:afterAutospacing="1" w:line="360" w:lineRule="auto"/>
        <w:rPr>
          <w:rFonts w:hint="eastAsia" w:asciiTheme="majorEastAsia" w:hAnsiTheme="majorEastAsia" w:eastAsiaTheme="majorEastAsia" w:cstheme="majorEastAsia"/>
          <w:szCs w:val="21"/>
          <w:lang w:eastAsia="zh-CN"/>
        </w:rPr>
      </w:pPr>
      <w:r>
        <w:rPr>
          <w:rFonts w:hint="eastAsia" w:asciiTheme="majorEastAsia" w:hAnsiTheme="majorEastAsia" w:eastAsiaTheme="majorEastAsia" w:cstheme="majorEastAsia"/>
          <w:szCs w:val="21"/>
        </w:rPr>
        <w:t>开户行地址：</w:t>
      </w:r>
    </w:p>
    <w:p>
      <w:pPr>
        <w:spacing w:after="100" w:afterAutospacing="1" w:line="360" w:lineRule="auto"/>
        <w:rPr>
          <w:rFonts w:asciiTheme="majorEastAsia" w:hAnsiTheme="majorEastAsia" w:eastAsiaTheme="majorEastAsia" w:cstheme="majorEastAsia"/>
          <w:szCs w:val="21"/>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after="100" w:afterAutospacing="1" w:line="360" w:lineRule="auto"/>
        <w:rPr>
          <w:rFonts w:hint="eastAsia"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rPr>
        <w:t>附件二</w:t>
      </w:r>
      <w:r>
        <w:rPr>
          <w:rFonts w:hint="eastAsia" w:asciiTheme="majorEastAsia" w:hAnsiTheme="majorEastAsia" w:eastAsiaTheme="majorEastAsia" w:cstheme="majorEastAsia"/>
          <w:szCs w:val="21"/>
          <w:lang w:val="en-US" w:eastAsia="zh-CN"/>
        </w:rPr>
        <w:t xml:space="preserve">                              </w:t>
      </w:r>
    </w:p>
    <w:p>
      <w:pPr>
        <w:spacing w:after="100" w:afterAutospacing="1" w:line="360" w:lineRule="auto"/>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工程报价明细表</w:t>
      </w:r>
    </w:p>
    <w:tbl>
      <w:tblPr>
        <w:tblStyle w:val="1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3780"/>
        <w:gridCol w:w="660"/>
        <w:gridCol w:w="888"/>
        <w:gridCol w:w="660"/>
        <w:gridCol w:w="111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105"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工程名称</w:t>
            </w:r>
          </w:p>
        </w:tc>
        <w:tc>
          <w:tcPr>
            <w:tcW w:w="378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技术规格</w:t>
            </w:r>
          </w:p>
        </w:tc>
        <w:tc>
          <w:tcPr>
            <w:tcW w:w="66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单位</w:t>
            </w:r>
          </w:p>
        </w:tc>
        <w:tc>
          <w:tcPr>
            <w:tcW w:w="888" w:type="dxa"/>
            <w:vMerge w:val="restart"/>
            <w:vAlign w:val="center"/>
          </w:tcPr>
          <w:p>
            <w:pPr>
              <w:spacing w:line="360" w:lineRule="auto"/>
              <w:jc w:val="center"/>
              <w:rPr>
                <w:rFonts w:hint="eastAsia" w:ascii="仿宋_GB2312" w:hAnsi="宋体" w:eastAsia="仿宋_GB2312"/>
                <w:szCs w:val="21"/>
                <w:lang w:val="en-US" w:eastAsia="zh-CN"/>
              </w:rPr>
            </w:pPr>
            <w:r>
              <w:rPr>
                <w:rFonts w:hint="eastAsia" w:ascii="仿宋_GB2312" w:hAnsi="宋体" w:eastAsia="仿宋_GB2312"/>
                <w:szCs w:val="21"/>
                <w:lang w:val="en-US" w:eastAsia="zh-CN"/>
              </w:rPr>
              <w:t>暂定</w:t>
            </w:r>
          </w:p>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数量</w:t>
            </w:r>
          </w:p>
        </w:tc>
        <w:tc>
          <w:tcPr>
            <w:tcW w:w="66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单价</w:t>
            </w:r>
          </w:p>
        </w:tc>
        <w:tc>
          <w:tcPr>
            <w:tcW w:w="1116"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总价</w:t>
            </w:r>
          </w:p>
        </w:tc>
        <w:tc>
          <w:tcPr>
            <w:tcW w:w="830" w:type="dxa"/>
            <w:vMerge w:val="restart"/>
          </w:tcPr>
          <w:p>
            <w:pPr>
              <w:spacing w:line="360" w:lineRule="auto"/>
              <w:jc w:val="both"/>
              <w:rPr>
                <w:rFonts w:hint="eastAsia" w:ascii="仿宋_GB2312" w:hAnsi="宋体" w:eastAsia="仿宋_GB2312"/>
                <w:szCs w:val="21"/>
                <w:lang w:val="en-US" w:eastAsia="zh-CN"/>
              </w:rPr>
            </w:pPr>
          </w:p>
          <w:p>
            <w:pPr>
              <w:spacing w:line="360" w:lineRule="auto"/>
              <w:jc w:val="both"/>
              <w:rPr>
                <w:rFonts w:hint="eastAsia" w:ascii="仿宋_GB2312" w:hAnsi="宋体" w:eastAsia="仿宋_GB2312"/>
                <w:szCs w:val="21"/>
                <w:lang w:val="en-US" w:eastAsia="zh-CN"/>
              </w:rPr>
            </w:pPr>
            <w:r>
              <w:rPr>
                <w:rFonts w:hint="eastAsia" w:ascii="仿宋_GB2312" w:hAnsi="宋体" w:eastAsia="仿宋_GB2312"/>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105" w:type="dxa"/>
            <w:vMerge w:val="continue"/>
            <w:vAlign w:val="center"/>
          </w:tcPr>
          <w:p>
            <w:pPr>
              <w:spacing w:line="360" w:lineRule="auto"/>
              <w:jc w:val="center"/>
              <w:rPr>
                <w:rFonts w:ascii="仿宋_GB2312" w:hAnsi="宋体" w:eastAsia="仿宋_GB2312"/>
                <w:szCs w:val="21"/>
              </w:rPr>
            </w:pPr>
          </w:p>
        </w:tc>
        <w:tc>
          <w:tcPr>
            <w:tcW w:w="3780" w:type="dxa"/>
            <w:vMerge w:val="continue"/>
            <w:vAlign w:val="center"/>
          </w:tcPr>
          <w:p>
            <w:pPr>
              <w:spacing w:line="360" w:lineRule="auto"/>
              <w:jc w:val="center"/>
              <w:rPr>
                <w:rFonts w:ascii="仿宋_GB2312" w:hAnsi="宋体" w:eastAsia="仿宋_GB2312"/>
                <w:szCs w:val="21"/>
              </w:rPr>
            </w:pPr>
          </w:p>
        </w:tc>
        <w:tc>
          <w:tcPr>
            <w:tcW w:w="660" w:type="dxa"/>
            <w:vMerge w:val="continue"/>
            <w:vAlign w:val="center"/>
          </w:tcPr>
          <w:p>
            <w:pPr>
              <w:spacing w:line="360" w:lineRule="auto"/>
              <w:jc w:val="center"/>
              <w:rPr>
                <w:rFonts w:ascii="仿宋_GB2312" w:hAnsi="宋体" w:eastAsia="仿宋_GB2312"/>
                <w:szCs w:val="21"/>
              </w:rPr>
            </w:pPr>
          </w:p>
        </w:tc>
        <w:tc>
          <w:tcPr>
            <w:tcW w:w="888" w:type="dxa"/>
            <w:vMerge w:val="continue"/>
            <w:vAlign w:val="center"/>
          </w:tcPr>
          <w:p>
            <w:pPr>
              <w:spacing w:line="360" w:lineRule="auto"/>
              <w:jc w:val="center"/>
              <w:rPr>
                <w:rFonts w:ascii="仿宋_GB2312" w:hAnsi="宋体" w:eastAsia="仿宋_GB2312"/>
                <w:szCs w:val="21"/>
              </w:rPr>
            </w:pPr>
          </w:p>
        </w:tc>
        <w:tc>
          <w:tcPr>
            <w:tcW w:w="660" w:type="dxa"/>
            <w:vMerge w:val="continue"/>
            <w:vAlign w:val="center"/>
          </w:tcPr>
          <w:p>
            <w:pPr>
              <w:spacing w:line="360" w:lineRule="auto"/>
              <w:jc w:val="center"/>
              <w:rPr>
                <w:rFonts w:ascii="仿宋_GB2312" w:hAnsi="宋体" w:eastAsia="仿宋_GB2312"/>
                <w:szCs w:val="21"/>
              </w:rPr>
            </w:pPr>
          </w:p>
        </w:tc>
        <w:tc>
          <w:tcPr>
            <w:tcW w:w="1116" w:type="dxa"/>
            <w:vMerge w:val="continue"/>
            <w:vAlign w:val="center"/>
          </w:tcPr>
          <w:p>
            <w:pPr>
              <w:spacing w:line="360" w:lineRule="auto"/>
              <w:jc w:val="center"/>
              <w:rPr>
                <w:rFonts w:ascii="仿宋_GB2312" w:hAnsi="宋体" w:eastAsia="仿宋_GB2312"/>
                <w:szCs w:val="21"/>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1" w:hRule="atLeast"/>
        </w:trPr>
        <w:tc>
          <w:tcPr>
            <w:tcW w:w="1105" w:type="dxa"/>
            <w:vAlign w:val="center"/>
          </w:tcPr>
          <w:p>
            <w:pPr>
              <w:spacing w:line="360" w:lineRule="auto"/>
              <w:jc w:val="left"/>
              <w:rPr>
                <w:rFonts w:hint="default" w:eastAsia="仿宋_GB2312"/>
                <w:b w:val="0"/>
                <w:bCs w:val="0"/>
                <w:color w:val="000000"/>
                <w:sz w:val="21"/>
                <w:szCs w:val="21"/>
                <w:lang w:val="en-US"/>
              </w:rPr>
            </w:pPr>
            <w:r>
              <w:rPr>
                <w:rFonts w:hint="eastAsia" w:eastAsia="仿宋_GB2312"/>
                <w:b w:val="0"/>
                <w:bCs w:val="0"/>
                <w:color w:val="000000"/>
                <w:sz w:val="21"/>
                <w:szCs w:val="21"/>
                <w:lang w:val="en-US" w:eastAsia="zh-CN"/>
              </w:rPr>
              <w:t>楼梯栏杆</w:t>
            </w:r>
          </w:p>
          <w:p>
            <w:pPr>
              <w:spacing w:line="360" w:lineRule="auto"/>
              <w:jc w:val="center"/>
              <w:rPr>
                <w:b w:val="0"/>
                <w:bCs w:val="0"/>
                <w:sz w:val="21"/>
                <w:szCs w:val="21"/>
              </w:rPr>
            </w:pPr>
          </w:p>
        </w:tc>
        <w:tc>
          <w:tcPr>
            <w:tcW w:w="3780" w:type="dxa"/>
            <w:vAlign w:val="center"/>
          </w:tcPr>
          <w:p>
            <w:pPr>
              <w:spacing w:line="360" w:lineRule="auto"/>
              <w:jc w:val="left"/>
              <w:rPr>
                <w:rFonts w:hint="default" w:eastAsia="仿宋_GB2312"/>
                <w:color w:val="000000"/>
                <w:sz w:val="21"/>
                <w:szCs w:val="21"/>
                <w:lang w:val="en-US" w:eastAsia="zh-CN"/>
              </w:rPr>
            </w:pPr>
            <w:r>
              <w:rPr>
                <w:rFonts w:hint="eastAsia" w:eastAsia="仿宋_GB2312"/>
                <w:color w:val="000000"/>
                <w:sz w:val="21"/>
                <w:szCs w:val="21"/>
                <w:lang w:val="en-US" w:eastAsia="zh-CN"/>
              </w:rPr>
              <w:t>1、栏杆成型高度：1100mm(楼顶平台处栏杆高度为1.2米)</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2、φ60x3钢管扶手</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3、-60x6双扁钢立柱</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4、φ20横杆</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5、油漆：防锈漆一度，上刷油漆二度</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6、具体做法参图集15J403-1第B26页</w:t>
            </w:r>
          </w:p>
          <w:p>
            <w:pPr>
              <w:spacing w:line="360" w:lineRule="auto"/>
              <w:jc w:val="left"/>
              <w:rPr>
                <w:sz w:val="21"/>
                <w:szCs w:val="21"/>
              </w:rPr>
            </w:pPr>
            <w:r>
              <w:rPr>
                <w:rFonts w:hint="eastAsia" w:eastAsia="仿宋_GB2312"/>
                <w:color w:val="000000"/>
                <w:sz w:val="21"/>
                <w:szCs w:val="21"/>
                <w:lang w:val="en-US" w:eastAsia="zh-CN"/>
              </w:rPr>
              <w:t>7、其他：详见设计图纸、答疑、招标文件、施工规范及相关验收要求</w:t>
            </w:r>
          </w:p>
        </w:tc>
        <w:tc>
          <w:tcPr>
            <w:tcW w:w="660" w:type="dxa"/>
            <w:vAlign w:val="center"/>
          </w:tcPr>
          <w:p>
            <w:pPr>
              <w:spacing w:line="360" w:lineRule="auto"/>
              <w:jc w:val="center"/>
              <w:rPr>
                <w:rFonts w:ascii="仿宋_GB2312" w:hAnsi="宋体" w:eastAsia="仿宋_GB2312"/>
                <w:sz w:val="21"/>
                <w:szCs w:val="21"/>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default" w:ascii="仿宋_GB2312" w:hAnsi="宋体" w:eastAsia="仿宋_GB2312"/>
                <w:sz w:val="21"/>
                <w:szCs w:val="21"/>
                <w:lang w:val="en-US"/>
              </w:rPr>
            </w:pPr>
            <w:r>
              <w:rPr>
                <w:rFonts w:hint="eastAsia" w:eastAsia="仿宋_GB2312"/>
                <w:color w:val="000000"/>
                <w:sz w:val="21"/>
                <w:szCs w:val="21"/>
                <w:lang w:val="en-US" w:eastAsia="zh-CN"/>
              </w:rPr>
              <w:t>359.77</w:t>
            </w:r>
          </w:p>
        </w:tc>
        <w:tc>
          <w:tcPr>
            <w:tcW w:w="660" w:type="dxa"/>
          </w:tcPr>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hint="default" w:ascii="仿宋_GB2312" w:hAnsi="宋体" w:eastAsia="仿宋_GB2312"/>
                <w:szCs w:val="21"/>
                <w:lang w:val="en-US" w:eastAsia="zh-CN"/>
              </w:rPr>
            </w:pPr>
          </w:p>
        </w:tc>
        <w:tc>
          <w:tcPr>
            <w:tcW w:w="1116" w:type="dxa"/>
          </w:tcPr>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ascii="仿宋_GB2312" w:hAnsi="宋体" w:eastAsia="仿宋_GB2312"/>
                <w:szCs w:val="21"/>
              </w:rPr>
            </w:pPr>
          </w:p>
          <w:p>
            <w:pPr>
              <w:spacing w:line="360" w:lineRule="auto"/>
              <w:jc w:val="center"/>
              <w:rPr>
                <w:rFonts w:hint="default" w:ascii="仿宋_GB2312" w:hAnsi="宋体" w:eastAsia="仿宋_GB2312"/>
                <w:szCs w:val="21"/>
                <w:lang w:val="en-US" w:eastAsia="zh-CN"/>
              </w:rPr>
            </w:pPr>
          </w:p>
        </w:tc>
        <w:tc>
          <w:tcPr>
            <w:tcW w:w="830" w:type="dxa"/>
            <w:vMerge w:val="restart"/>
          </w:tcPr>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ascii="仿宋_GB2312" w:hAnsi="宋体" w:eastAsia="仿宋_GB2312"/>
                <w:szCs w:val="21"/>
              </w:rPr>
            </w:pPr>
          </w:p>
          <w:p>
            <w:pPr>
              <w:tabs>
                <w:tab w:val="left" w:pos="286"/>
              </w:tabs>
              <w:spacing w:line="360" w:lineRule="auto"/>
              <w:jc w:val="left"/>
              <w:rPr>
                <w:rFonts w:hint="eastAsia" w:eastAsia="仿宋_GB2312"/>
                <w:sz w:val="24"/>
                <w:lang w:eastAsia="zh-CN"/>
              </w:rPr>
            </w:pPr>
            <w:r>
              <w:rPr>
                <w:rFonts w:hint="eastAsia" w:eastAsia="仿宋_GB2312"/>
                <w:sz w:val="24"/>
                <w:lang w:eastAsia="zh-CN"/>
              </w:rPr>
              <w:tab/>
            </w: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hint="eastAsia" w:eastAsia="仿宋_GB2312"/>
                <w:sz w:val="24"/>
                <w:lang w:val="en-US" w:eastAsia="zh-CN"/>
              </w:rPr>
            </w:pPr>
            <w:r>
              <w:rPr>
                <w:rFonts w:hint="eastAsia" w:eastAsia="仿宋_GB2312"/>
                <w:sz w:val="24"/>
                <w:lang w:val="en-US" w:eastAsia="zh-CN"/>
              </w:rPr>
              <w:t>最终以现场实际完成量为准</w:t>
            </w:r>
          </w:p>
          <w:p>
            <w:pPr>
              <w:spacing w:line="360" w:lineRule="auto"/>
              <w:jc w:val="center"/>
              <w:rPr>
                <w:rFonts w:hint="eastAsia" w:eastAsia="仿宋_GB2312"/>
                <w:sz w:val="24"/>
              </w:rPr>
            </w:pPr>
          </w:p>
          <w:p>
            <w:pPr>
              <w:spacing w:line="360" w:lineRule="auto"/>
              <w:jc w:val="center"/>
              <w:rPr>
                <w:rFonts w:hint="eastAsia" w:eastAsia="仿宋_GB2312"/>
                <w:sz w:val="24"/>
              </w:rPr>
            </w:pPr>
          </w:p>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left"/>
              <w:rPr>
                <w:rFonts w:hint="eastAsia" w:eastAsia="仿宋_GB2312"/>
                <w:b w:val="0"/>
                <w:bCs w:val="0"/>
                <w:color w:val="000000"/>
                <w:sz w:val="21"/>
                <w:szCs w:val="21"/>
                <w:lang w:val="en-US" w:eastAsia="zh-CN"/>
              </w:rPr>
            </w:pPr>
            <w:r>
              <w:rPr>
                <w:rFonts w:hint="eastAsia" w:eastAsia="仿宋_GB2312"/>
                <w:b w:val="0"/>
                <w:bCs w:val="0"/>
                <w:color w:val="000000"/>
                <w:sz w:val="21"/>
                <w:szCs w:val="21"/>
                <w:lang w:val="en-US" w:eastAsia="zh-CN"/>
              </w:rPr>
              <w:t>玻璃栏板</w:t>
            </w:r>
          </w:p>
          <w:p>
            <w:pPr>
              <w:spacing w:line="360" w:lineRule="auto"/>
              <w:jc w:val="center"/>
              <w:rPr>
                <w:b w:val="0"/>
                <w:bCs w:val="0"/>
                <w:sz w:val="21"/>
                <w:szCs w:val="21"/>
              </w:rPr>
            </w:pPr>
          </w:p>
        </w:tc>
        <w:tc>
          <w:tcPr>
            <w:tcW w:w="3780" w:type="dxa"/>
            <w:vAlign w:val="center"/>
          </w:tcPr>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1、成型高度：1100mm</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2、φ50*3不锈钢扶手（201系列不锈钢）</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3、8厚扁钢立柱</w:t>
            </w:r>
          </w:p>
          <w:p>
            <w:p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4、12厚钢化夹层玻璃栏板</w:t>
            </w:r>
          </w:p>
          <w:p>
            <w:pPr>
              <w:spacing w:line="360" w:lineRule="auto"/>
              <w:jc w:val="left"/>
              <w:rPr>
                <w:sz w:val="21"/>
                <w:szCs w:val="21"/>
              </w:rPr>
            </w:pPr>
            <w:r>
              <w:rPr>
                <w:rFonts w:hint="eastAsia" w:eastAsia="仿宋_GB2312"/>
                <w:color w:val="000000"/>
                <w:sz w:val="21"/>
                <w:szCs w:val="21"/>
                <w:lang w:val="en-US" w:eastAsia="zh-CN"/>
              </w:rPr>
              <w:t>5、具体做法参图集15J403-1-D68-PC21</w:t>
            </w:r>
          </w:p>
        </w:tc>
        <w:tc>
          <w:tcPr>
            <w:tcW w:w="660" w:type="dxa"/>
            <w:vAlign w:val="center"/>
          </w:tcPr>
          <w:p>
            <w:pPr>
              <w:spacing w:line="360" w:lineRule="auto"/>
              <w:jc w:val="center"/>
              <w:rPr>
                <w:rFonts w:ascii="仿宋_GB2312" w:hAnsi="宋体" w:eastAsia="仿宋_GB2312"/>
                <w:sz w:val="21"/>
                <w:szCs w:val="21"/>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eastAsia" w:eastAsia="仿宋_GB2312"/>
                <w:color w:val="000000"/>
                <w:sz w:val="21"/>
                <w:szCs w:val="21"/>
                <w:lang w:val="en-US" w:eastAsia="zh-CN"/>
              </w:rPr>
            </w:pPr>
          </w:p>
          <w:p>
            <w:pPr>
              <w:spacing w:line="360" w:lineRule="auto"/>
              <w:jc w:val="center"/>
              <w:rPr>
                <w:rFonts w:hint="default" w:ascii="仿宋_GB2312" w:hAnsi="宋体" w:eastAsia="仿宋_GB2312"/>
                <w:sz w:val="21"/>
                <w:szCs w:val="21"/>
                <w:lang w:val="en-US"/>
              </w:rPr>
            </w:pPr>
            <w:r>
              <w:rPr>
                <w:rFonts w:hint="eastAsia" w:eastAsia="仿宋_GB2312"/>
                <w:color w:val="000000"/>
                <w:sz w:val="21"/>
                <w:szCs w:val="21"/>
                <w:lang w:val="en-US" w:eastAsia="zh-CN"/>
              </w:rPr>
              <w:t>414.24</w:t>
            </w:r>
          </w:p>
        </w:tc>
        <w:tc>
          <w:tcPr>
            <w:tcW w:w="660" w:type="dxa"/>
          </w:tcPr>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0" w:hRule="atLeast"/>
        </w:trPr>
        <w:tc>
          <w:tcPr>
            <w:tcW w:w="1105" w:type="dxa"/>
            <w:vAlign w:val="center"/>
          </w:tcPr>
          <w:p>
            <w:pPr>
              <w:spacing w:line="360" w:lineRule="auto"/>
              <w:jc w:val="left"/>
              <w:rPr>
                <w:rFonts w:hint="eastAsia" w:eastAsia="仿宋_GB2312"/>
                <w:b w:val="0"/>
                <w:bCs w:val="0"/>
                <w:sz w:val="21"/>
                <w:szCs w:val="21"/>
                <w:lang w:val="en-US" w:eastAsia="zh-CN"/>
              </w:rPr>
            </w:pPr>
            <w:r>
              <w:rPr>
                <w:rFonts w:hint="eastAsia" w:eastAsia="仿宋_GB2312"/>
                <w:b w:val="0"/>
                <w:bCs w:val="0"/>
                <w:sz w:val="21"/>
                <w:szCs w:val="21"/>
                <w:lang w:val="en-US" w:eastAsia="zh-CN"/>
              </w:rPr>
              <w:t>玻璃栏板</w:t>
            </w:r>
          </w:p>
          <w:p>
            <w:pPr>
              <w:spacing w:line="360" w:lineRule="auto"/>
              <w:jc w:val="center"/>
              <w:rPr>
                <w:rFonts w:ascii="仿宋_GB2312" w:hAnsi="宋体" w:eastAsia="仿宋_GB2312"/>
                <w:b w:val="0"/>
                <w:bCs w:val="0"/>
                <w:sz w:val="21"/>
                <w:szCs w:val="21"/>
              </w:rPr>
            </w:pPr>
          </w:p>
        </w:tc>
        <w:tc>
          <w:tcPr>
            <w:tcW w:w="3780" w:type="dxa"/>
            <w:vAlign w:val="center"/>
          </w:tcPr>
          <w:p>
            <w:pPr>
              <w:numPr>
                <w:ilvl w:val="0"/>
                <w:numId w:val="0"/>
              </w:num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1、成型高度：1200mm</w:t>
            </w:r>
          </w:p>
          <w:p>
            <w:pPr>
              <w:numPr>
                <w:ilvl w:val="0"/>
                <w:numId w:val="0"/>
              </w:num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2、φ50*3不锈钢扶手（201系列不锈钢）</w:t>
            </w:r>
          </w:p>
          <w:p>
            <w:pPr>
              <w:numPr>
                <w:ilvl w:val="0"/>
                <w:numId w:val="0"/>
              </w:num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3、-80*8厚扁钢立柱</w:t>
            </w:r>
          </w:p>
          <w:p>
            <w:pPr>
              <w:numPr>
                <w:ilvl w:val="0"/>
                <w:numId w:val="0"/>
              </w:numPr>
              <w:spacing w:line="360" w:lineRule="auto"/>
              <w:jc w:val="left"/>
              <w:rPr>
                <w:rFonts w:hint="eastAsia" w:eastAsia="仿宋_GB2312"/>
                <w:color w:val="000000"/>
                <w:sz w:val="21"/>
                <w:szCs w:val="21"/>
                <w:lang w:val="en-US" w:eastAsia="zh-CN"/>
              </w:rPr>
            </w:pPr>
            <w:r>
              <w:rPr>
                <w:rFonts w:hint="eastAsia" w:eastAsia="仿宋_GB2312"/>
                <w:color w:val="000000"/>
                <w:sz w:val="21"/>
                <w:szCs w:val="21"/>
                <w:lang w:val="en-US" w:eastAsia="zh-CN"/>
              </w:rPr>
              <w:t>4、12厚钢化夹层玻璃栏板</w:t>
            </w:r>
          </w:p>
          <w:p>
            <w:pPr>
              <w:numPr>
                <w:ilvl w:val="0"/>
                <w:numId w:val="0"/>
              </w:numPr>
              <w:spacing w:line="360" w:lineRule="auto"/>
              <w:ind w:left="0" w:leftChars="0" w:firstLine="0" w:firstLineChars="0"/>
              <w:jc w:val="left"/>
              <w:rPr>
                <w:rFonts w:ascii="仿宋_GB2312" w:hAnsi="宋体" w:eastAsia="仿宋_GB2312"/>
                <w:sz w:val="21"/>
                <w:szCs w:val="21"/>
              </w:rPr>
            </w:pPr>
            <w:r>
              <w:rPr>
                <w:rFonts w:hint="eastAsia" w:eastAsia="仿宋_GB2312"/>
                <w:color w:val="000000"/>
                <w:sz w:val="21"/>
                <w:szCs w:val="21"/>
                <w:lang w:val="en-US" w:eastAsia="zh-CN"/>
              </w:rPr>
              <w:t>5、具体做法参图集15J403-1-B49-C8</w:t>
            </w:r>
          </w:p>
        </w:tc>
        <w:tc>
          <w:tcPr>
            <w:tcW w:w="660" w:type="dxa"/>
            <w:vAlign w:val="center"/>
          </w:tcPr>
          <w:p>
            <w:pPr>
              <w:spacing w:line="360" w:lineRule="auto"/>
              <w:jc w:val="center"/>
              <w:rPr>
                <w:rFonts w:ascii="仿宋_GB2312" w:hAnsi="宋体" w:eastAsia="仿宋_GB2312"/>
                <w:sz w:val="21"/>
                <w:szCs w:val="21"/>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default" w:ascii="仿宋_GB2312" w:hAnsi="宋体" w:eastAsia="仿宋_GB2312"/>
                <w:sz w:val="21"/>
                <w:szCs w:val="21"/>
                <w:lang w:val="en-US"/>
              </w:rPr>
            </w:pPr>
            <w:r>
              <w:rPr>
                <w:rFonts w:hint="eastAsia" w:eastAsia="仿宋_GB2312"/>
                <w:color w:val="000000"/>
                <w:sz w:val="21"/>
                <w:szCs w:val="21"/>
                <w:lang w:val="en-US" w:eastAsia="zh-CN"/>
              </w:rPr>
              <w:t>32.8</w:t>
            </w:r>
          </w:p>
        </w:tc>
        <w:tc>
          <w:tcPr>
            <w:tcW w:w="660"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ascii="仿宋_GB2312" w:hAnsi="宋体" w:eastAsia="仿宋_GB2312"/>
                <w:sz w:val="21"/>
                <w:szCs w:val="21"/>
              </w:rPr>
            </w:pPr>
            <w:r>
              <w:rPr>
                <w:rFonts w:hint="eastAsia" w:ascii="仿宋_GB2312" w:hAnsi="宋体" w:eastAsia="仿宋_GB2312"/>
                <w:sz w:val="21"/>
                <w:szCs w:val="21"/>
              </w:rPr>
              <w:t>护窗栏杆</w:t>
            </w:r>
          </w:p>
        </w:tc>
        <w:tc>
          <w:tcPr>
            <w:tcW w:w="3780" w:type="dxa"/>
            <w:vAlign w:val="center"/>
          </w:tcPr>
          <w:p>
            <w:pPr>
              <w:spacing w:line="360" w:lineRule="auto"/>
              <w:jc w:val="left"/>
              <w:rPr>
                <w:rFonts w:hint="eastAsia" w:ascii="仿宋_GB2312" w:hAnsi="宋体" w:eastAsia="仿宋_GB2312"/>
                <w:sz w:val="21"/>
                <w:szCs w:val="21"/>
              </w:rPr>
            </w:pPr>
            <w:r>
              <w:rPr>
                <w:rFonts w:hint="eastAsia" w:ascii="仿宋_GB2312" w:hAnsi="宋体" w:eastAsia="仿宋_GB2312"/>
                <w:sz w:val="21"/>
                <w:szCs w:val="21"/>
              </w:rPr>
              <w:t>1、栏杆</w:t>
            </w:r>
            <w:r>
              <w:rPr>
                <w:rFonts w:hint="eastAsia" w:eastAsia="仿宋_GB2312"/>
                <w:color w:val="000000"/>
                <w:sz w:val="21"/>
                <w:szCs w:val="21"/>
                <w:lang w:val="en-US" w:eastAsia="zh-CN"/>
              </w:rPr>
              <w:t>成型</w:t>
            </w:r>
            <w:r>
              <w:rPr>
                <w:rFonts w:hint="eastAsia" w:ascii="仿宋_GB2312" w:hAnsi="宋体" w:eastAsia="仿宋_GB2312"/>
                <w:sz w:val="21"/>
                <w:szCs w:val="21"/>
              </w:rPr>
              <w:t>高度：1100mm</w:t>
            </w:r>
          </w:p>
          <w:p>
            <w:pPr>
              <w:spacing w:line="360" w:lineRule="auto"/>
              <w:jc w:val="left"/>
              <w:rPr>
                <w:rFonts w:hint="eastAsia" w:ascii="仿宋_GB2312" w:hAnsi="宋体" w:eastAsia="仿宋_GB2312"/>
                <w:sz w:val="21"/>
                <w:szCs w:val="21"/>
              </w:rPr>
            </w:pPr>
            <w:r>
              <w:rPr>
                <w:rFonts w:hint="eastAsia" w:ascii="仿宋_GB2312" w:hAnsi="宋体" w:eastAsia="仿宋_GB2312"/>
                <w:sz w:val="21"/>
                <w:szCs w:val="21"/>
              </w:rPr>
              <w:t>2、木扶手</w:t>
            </w:r>
          </w:p>
          <w:p>
            <w:pPr>
              <w:spacing w:line="360" w:lineRule="auto"/>
              <w:jc w:val="left"/>
              <w:rPr>
                <w:rFonts w:hint="eastAsia" w:ascii="仿宋_GB2312" w:hAnsi="宋体" w:eastAsia="仿宋_GB2312"/>
                <w:sz w:val="21"/>
                <w:szCs w:val="21"/>
              </w:rPr>
            </w:pPr>
            <w:r>
              <w:rPr>
                <w:rFonts w:hint="eastAsia" w:ascii="仿宋_GB2312" w:hAnsi="宋体" w:eastAsia="仿宋_GB2312"/>
                <w:sz w:val="21"/>
                <w:szCs w:val="21"/>
              </w:rPr>
              <w:t>3、φ24x2@110不锈钢管栏杆</w:t>
            </w:r>
            <w:r>
              <w:rPr>
                <w:rFonts w:hint="eastAsia" w:eastAsia="仿宋_GB2312"/>
                <w:color w:val="000000"/>
                <w:sz w:val="21"/>
                <w:szCs w:val="21"/>
                <w:lang w:val="en-US" w:eastAsia="zh-CN"/>
              </w:rPr>
              <w:t>（201系列不锈钢）</w:t>
            </w:r>
          </w:p>
          <w:p>
            <w:pPr>
              <w:spacing w:line="360" w:lineRule="auto"/>
              <w:jc w:val="left"/>
              <w:rPr>
                <w:rFonts w:hint="eastAsia" w:ascii="仿宋_GB2312" w:hAnsi="宋体" w:eastAsia="仿宋_GB2312"/>
                <w:sz w:val="21"/>
                <w:szCs w:val="21"/>
              </w:rPr>
            </w:pPr>
            <w:r>
              <w:rPr>
                <w:rFonts w:hint="eastAsia" w:ascii="仿宋_GB2312" w:hAnsi="宋体" w:eastAsia="仿宋_GB2312"/>
                <w:sz w:val="21"/>
                <w:szCs w:val="21"/>
                <w:lang w:val="en-US" w:eastAsia="zh-CN"/>
              </w:rPr>
              <w:t>4</w:t>
            </w:r>
            <w:r>
              <w:rPr>
                <w:rFonts w:hint="eastAsia" w:ascii="仿宋_GB2312" w:hAnsi="宋体" w:eastAsia="仿宋_GB2312"/>
                <w:sz w:val="21"/>
                <w:szCs w:val="21"/>
              </w:rPr>
              <w:t>、具体做法参图集15J403-1第C14页H1</w:t>
            </w:r>
          </w:p>
          <w:p>
            <w:pPr>
              <w:spacing w:line="360" w:lineRule="auto"/>
              <w:jc w:val="left"/>
              <w:rPr>
                <w:rFonts w:ascii="仿宋_GB2312" w:hAnsi="宋体" w:eastAsia="仿宋_GB2312"/>
                <w:sz w:val="21"/>
                <w:szCs w:val="21"/>
              </w:rPr>
            </w:pPr>
            <w:r>
              <w:rPr>
                <w:rFonts w:hint="eastAsia" w:ascii="仿宋_GB2312" w:hAnsi="宋体" w:eastAsia="仿宋_GB2312"/>
                <w:sz w:val="21"/>
                <w:szCs w:val="21"/>
                <w:lang w:val="en-US" w:eastAsia="zh-CN"/>
              </w:rPr>
              <w:t>5</w:t>
            </w:r>
            <w:r>
              <w:rPr>
                <w:rFonts w:hint="eastAsia" w:ascii="仿宋_GB2312" w:hAnsi="宋体" w:eastAsia="仿宋_GB2312"/>
                <w:sz w:val="21"/>
                <w:szCs w:val="21"/>
              </w:rPr>
              <w:t>、其他：详见设计图纸、答疑、招标文件、施工规范及相关验收要求</w:t>
            </w:r>
          </w:p>
        </w:tc>
        <w:tc>
          <w:tcPr>
            <w:tcW w:w="660" w:type="dxa"/>
            <w:vAlign w:val="center"/>
          </w:tcPr>
          <w:p>
            <w:pPr>
              <w:spacing w:line="360" w:lineRule="auto"/>
              <w:jc w:val="center"/>
              <w:rPr>
                <w:rFonts w:hint="eastAsia" w:ascii="仿宋_GB2312" w:hAnsi="宋体" w:eastAsia="仿宋_GB2312"/>
                <w:sz w:val="21"/>
                <w:szCs w:val="21"/>
                <w:lang w:val="en-US" w:eastAsia="zh-CN"/>
              </w:rPr>
            </w:pPr>
            <w:r>
              <w:rPr>
                <w:rFonts w:hint="eastAsia" w:ascii="仿宋_GB2312" w:hAnsi="宋体" w:eastAsia="仿宋_GB2312"/>
                <w:sz w:val="21"/>
                <w:szCs w:val="21"/>
                <w:lang w:val="en-US" w:eastAsia="zh-CN"/>
              </w:rPr>
              <w:t>米</w:t>
            </w:r>
          </w:p>
        </w:tc>
        <w:tc>
          <w:tcPr>
            <w:tcW w:w="888" w:type="dxa"/>
            <w:vAlign w:val="center"/>
          </w:tcPr>
          <w:p>
            <w:pPr>
              <w:spacing w:line="360" w:lineRule="auto"/>
              <w:jc w:val="center"/>
              <w:rPr>
                <w:rFonts w:hint="default" w:ascii="仿宋_GB2312" w:hAnsi="宋体" w:eastAsia="仿宋_GB2312"/>
                <w:sz w:val="21"/>
                <w:szCs w:val="21"/>
                <w:lang w:val="en-US" w:eastAsia="zh-CN"/>
              </w:rPr>
            </w:pPr>
            <w:r>
              <w:rPr>
                <w:rFonts w:hint="eastAsia" w:ascii="仿宋_GB2312" w:hAnsi="宋体" w:eastAsia="仿宋_GB2312"/>
                <w:sz w:val="21"/>
                <w:szCs w:val="21"/>
                <w:lang w:val="en-US" w:eastAsia="zh-CN"/>
              </w:rPr>
              <w:t>462.11</w:t>
            </w:r>
          </w:p>
        </w:tc>
        <w:tc>
          <w:tcPr>
            <w:tcW w:w="660"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eastAsia" w:eastAsia="仿宋_GB2312"/>
                <w:color w:val="000000"/>
                <w:sz w:val="24"/>
                <w:lang w:val="en-US" w:eastAsia="zh-CN"/>
              </w:rPr>
            </w:pPr>
          </w:p>
          <w:p>
            <w:pPr>
              <w:spacing w:line="360" w:lineRule="auto"/>
              <w:jc w:val="center"/>
              <w:rPr>
                <w:rFonts w:hint="eastAsia" w:eastAsia="仿宋_GB2312"/>
                <w:color w:val="000000"/>
                <w:sz w:val="24"/>
                <w:lang w:val="en-US" w:eastAsia="zh-CN"/>
              </w:rPr>
            </w:pPr>
          </w:p>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hint="eastAsia" w:ascii="仿宋_GB2312" w:hAnsi="宋体" w:eastAsia="仿宋_GB2312"/>
                <w:sz w:val="21"/>
                <w:szCs w:val="21"/>
                <w:lang w:eastAsia="zh-CN"/>
              </w:rPr>
            </w:pPr>
            <w:r>
              <w:rPr>
                <w:rFonts w:hint="eastAsia" w:ascii="仿宋_GB2312" w:hAnsi="宋体" w:eastAsia="仿宋_GB2312"/>
                <w:sz w:val="21"/>
                <w:szCs w:val="21"/>
                <w:lang w:eastAsia="zh-CN"/>
              </w:rPr>
              <w:t>无障碍扶手</w:t>
            </w:r>
          </w:p>
        </w:tc>
        <w:tc>
          <w:tcPr>
            <w:tcW w:w="3780" w:type="dxa"/>
            <w:vAlign w:val="center"/>
          </w:tcPr>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1、栏板</w:t>
            </w:r>
            <w:r>
              <w:rPr>
                <w:rFonts w:hint="eastAsia" w:eastAsia="仿宋_GB2312"/>
                <w:color w:val="000000"/>
                <w:sz w:val="21"/>
                <w:szCs w:val="21"/>
                <w:lang w:val="en-US" w:eastAsia="zh-CN"/>
              </w:rPr>
              <w:t>成型</w:t>
            </w:r>
            <w:r>
              <w:rPr>
                <w:rFonts w:hint="default" w:eastAsia="仿宋_GB2312"/>
                <w:color w:val="000000"/>
                <w:sz w:val="21"/>
                <w:szCs w:val="21"/>
                <w:lang w:val="en-US" w:eastAsia="zh-CN"/>
              </w:rPr>
              <w:t>高度：900mm</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2、φ40不锈钢管扶手、φ15不锈钢管横杆</w:t>
            </w:r>
            <w:r>
              <w:rPr>
                <w:rFonts w:hint="eastAsia" w:eastAsia="仿宋_GB2312"/>
                <w:color w:val="000000"/>
                <w:sz w:val="21"/>
                <w:szCs w:val="21"/>
                <w:lang w:val="en-US" w:eastAsia="zh-CN"/>
              </w:rPr>
              <w:t>（201系列不锈钢）</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3、φ40不锈钢管立柱</w:t>
            </w:r>
          </w:p>
          <w:p>
            <w:pPr>
              <w:numPr>
                <w:ilvl w:val="0"/>
                <w:numId w:val="0"/>
              </w:numPr>
              <w:spacing w:line="360" w:lineRule="auto"/>
              <w:jc w:val="left"/>
              <w:rPr>
                <w:rFonts w:hint="default" w:eastAsia="仿宋_GB2312"/>
                <w:color w:val="000000"/>
                <w:sz w:val="21"/>
                <w:szCs w:val="21"/>
                <w:lang w:val="en-US" w:eastAsia="zh-CN"/>
              </w:rPr>
            </w:pPr>
            <w:r>
              <w:rPr>
                <w:rFonts w:hint="eastAsia" w:eastAsia="仿宋_GB2312"/>
                <w:color w:val="000000"/>
                <w:sz w:val="21"/>
                <w:szCs w:val="21"/>
                <w:lang w:val="en-US" w:eastAsia="zh-CN"/>
              </w:rPr>
              <w:t>4</w:t>
            </w:r>
            <w:r>
              <w:rPr>
                <w:rFonts w:hint="default" w:eastAsia="仿宋_GB2312"/>
                <w:color w:val="000000"/>
                <w:sz w:val="21"/>
                <w:szCs w:val="21"/>
                <w:lang w:val="en-US" w:eastAsia="zh-CN"/>
              </w:rPr>
              <w:t>、具体做法参图集03J926第23页1</w:t>
            </w:r>
          </w:p>
          <w:p>
            <w:pPr>
              <w:numPr>
                <w:ilvl w:val="0"/>
                <w:numId w:val="0"/>
              </w:numPr>
              <w:spacing w:line="360" w:lineRule="auto"/>
              <w:jc w:val="left"/>
              <w:rPr>
                <w:rFonts w:hint="default" w:eastAsia="仿宋_GB2312"/>
                <w:color w:val="000000"/>
                <w:sz w:val="21"/>
                <w:szCs w:val="21"/>
                <w:lang w:val="en-US" w:eastAsia="zh-CN"/>
              </w:rPr>
            </w:pPr>
            <w:r>
              <w:rPr>
                <w:rFonts w:hint="eastAsia" w:eastAsia="仿宋_GB2312"/>
                <w:color w:val="000000"/>
                <w:sz w:val="21"/>
                <w:szCs w:val="21"/>
                <w:lang w:val="en-US" w:eastAsia="zh-CN"/>
              </w:rPr>
              <w:t>5</w:t>
            </w:r>
            <w:r>
              <w:rPr>
                <w:rFonts w:hint="default" w:eastAsia="仿宋_GB2312"/>
                <w:color w:val="000000"/>
                <w:sz w:val="21"/>
                <w:szCs w:val="21"/>
                <w:lang w:val="en-US" w:eastAsia="zh-CN"/>
              </w:rPr>
              <w:t>、其他：详见设计图纸、答疑、招标文件、施工规范及相关验收要求</w:t>
            </w:r>
          </w:p>
        </w:tc>
        <w:tc>
          <w:tcPr>
            <w:tcW w:w="660" w:type="dxa"/>
            <w:vAlign w:val="center"/>
          </w:tcPr>
          <w:p>
            <w:pPr>
              <w:spacing w:line="360" w:lineRule="auto"/>
              <w:jc w:val="center"/>
              <w:rPr>
                <w:rFonts w:hint="default" w:eastAsia="仿宋_GB2312"/>
                <w:color w:val="000000"/>
                <w:sz w:val="21"/>
                <w:szCs w:val="21"/>
                <w:lang w:val="en-US" w:eastAsia="zh-CN"/>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default" w:eastAsia="仿宋_GB2312"/>
                <w:color w:val="000000"/>
                <w:sz w:val="21"/>
                <w:szCs w:val="21"/>
                <w:lang w:val="en-US" w:eastAsia="zh-CN"/>
              </w:rPr>
            </w:pPr>
            <w:r>
              <w:rPr>
                <w:rFonts w:hint="eastAsia" w:eastAsia="仿宋_GB2312"/>
                <w:color w:val="000000"/>
                <w:sz w:val="21"/>
                <w:szCs w:val="21"/>
                <w:lang w:val="en-US" w:eastAsia="zh-CN"/>
              </w:rPr>
              <w:t>8.6</w:t>
            </w:r>
          </w:p>
        </w:tc>
        <w:tc>
          <w:tcPr>
            <w:tcW w:w="660" w:type="dxa"/>
          </w:tcPr>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pPr>
              <w:spacing w:line="360" w:lineRule="auto"/>
              <w:jc w:val="center"/>
              <w:rPr>
                <w:rFonts w:hint="eastAsia" w:ascii="仿宋_GB2312" w:hAnsi="宋体" w:eastAsia="仿宋_GB2312"/>
                <w:sz w:val="21"/>
                <w:szCs w:val="21"/>
                <w:lang w:eastAsia="zh-CN"/>
              </w:rPr>
            </w:pPr>
            <w:r>
              <w:rPr>
                <w:rFonts w:hint="eastAsia" w:ascii="仿宋_GB2312" w:hAnsi="宋体" w:eastAsia="仿宋_GB2312"/>
                <w:sz w:val="21"/>
                <w:szCs w:val="21"/>
                <w:lang w:eastAsia="zh-CN"/>
              </w:rPr>
              <w:t>不锈钢玻璃栏杆</w:t>
            </w:r>
          </w:p>
        </w:tc>
        <w:tc>
          <w:tcPr>
            <w:tcW w:w="3780" w:type="dxa"/>
            <w:vAlign w:val="center"/>
          </w:tcPr>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1、栏杆材质、规格：不锈钢夹胶玻璃栏杆</w:t>
            </w:r>
            <w:r>
              <w:rPr>
                <w:rFonts w:hint="eastAsia" w:eastAsia="仿宋_GB2312"/>
                <w:color w:val="000000"/>
                <w:sz w:val="21"/>
                <w:szCs w:val="21"/>
                <w:lang w:val="en-US" w:eastAsia="zh-CN"/>
              </w:rPr>
              <w:t>（201系列不锈钢）</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2、</w:t>
            </w:r>
            <w:r>
              <w:rPr>
                <w:rFonts w:hint="eastAsia" w:eastAsia="仿宋_GB2312"/>
                <w:color w:val="000000"/>
                <w:sz w:val="21"/>
                <w:szCs w:val="21"/>
                <w:lang w:val="en-US" w:eastAsia="zh-CN"/>
              </w:rPr>
              <w:t>成型</w:t>
            </w:r>
            <w:r>
              <w:rPr>
                <w:rFonts w:hint="default" w:eastAsia="仿宋_GB2312"/>
                <w:color w:val="000000"/>
                <w:sz w:val="21"/>
                <w:szCs w:val="21"/>
                <w:lang w:val="en-US" w:eastAsia="zh-CN"/>
              </w:rPr>
              <w:t>高度：1.05m</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3、厚度：12mm厚钢化夹层玻璃</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4、图集：15J403-1 B46</w:t>
            </w:r>
          </w:p>
          <w:p>
            <w:pPr>
              <w:numPr>
                <w:ilvl w:val="0"/>
                <w:numId w:val="0"/>
              </w:numPr>
              <w:spacing w:line="360" w:lineRule="auto"/>
              <w:jc w:val="left"/>
              <w:rPr>
                <w:rFonts w:hint="default" w:eastAsia="仿宋_GB2312"/>
                <w:color w:val="000000"/>
                <w:sz w:val="21"/>
                <w:szCs w:val="21"/>
                <w:lang w:val="en-US" w:eastAsia="zh-CN"/>
              </w:rPr>
            </w:pPr>
            <w:r>
              <w:rPr>
                <w:rFonts w:hint="default" w:eastAsia="仿宋_GB2312"/>
                <w:color w:val="000000"/>
                <w:sz w:val="21"/>
                <w:szCs w:val="21"/>
                <w:lang w:val="en-US" w:eastAsia="zh-CN"/>
              </w:rPr>
              <w:t>5、其他：未尽事宜详见设计图纸，设计答疑等</w:t>
            </w:r>
          </w:p>
        </w:tc>
        <w:tc>
          <w:tcPr>
            <w:tcW w:w="660" w:type="dxa"/>
            <w:vAlign w:val="center"/>
          </w:tcPr>
          <w:p>
            <w:pPr>
              <w:spacing w:line="360" w:lineRule="auto"/>
              <w:jc w:val="center"/>
              <w:rPr>
                <w:rFonts w:hint="eastAsia" w:eastAsia="仿宋_GB2312"/>
                <w:color w:val="000000"/>
                <w:sz w:val="21"/>
                <w:szCs w:val="21"/>
                <w:lang w:val="en-US" w:eastAsia="zh-CN"/>
              </w:rPr>
            </w:pPr>
            <w:r>
              <w:rPr>
                <w:rFonts w:hint="eastAsia" w:eastAsia="仿宋_GB2312"/>
                <w:color w:val="000000"/>
                <w:sz w:val="21"/>
                <w:szCs w:val="21"/>
                <w:lang w:val="en-US" w:eastAsia="zh-CN"/>
              </w:rPr>
              <w:t>米</w:t>
            </w:r>
          </w:p>
        </w:tc>
        <w:tc>
          <w:tcPr>
            <w:tcW w:w="888" w:type="dxa"/>
            <w:vAlign w:val="center"/>
          </w:tcPr>
          <w:p>
            <w:pPr>
              <w:spacing w:line="360" w:lineRule="auto"/>
              <w:jc w:val="center"/>
              <w:rPr>
                <w:rFonts w:hint="default" w:eastAsia="仿宋_GB2312"/>
                <w:color w:val="000000"/>
                <w:sz w:val="21"/>
                <w:szCs w:val="21"/>
                <w:lang w:val="en-US" w:eastAsia="zh-CN"/>
              </w:rPr>
            </w:pPr>
            <w:r>
              <w:rPr>
                <w:rFonts w:hint="eastAsia" w:eastAsia="仿宋_GB2312"/>
                <w:color w:val="000000"/>
                <w:sz w:val="21"/>
                <w:szCs w:val="21"/>
                <w:lang w:val="en-US" w:eastAsia="zh-CN"/>
              </w:rPr>
              <w:t>81.45</w:t>
            </w:r>
          </w:p>
        </w:tc>
        <w:tc>
          <w:tcPr>
            <w:tcW w:w="660" w:type="dxa"/>
          </w:tcPr>
          <w:p>
            <w:pPr>
              <w:spacing w:line="360" w:lineRule="auto"/>
              <w:jc w:val="center"/>
              <w:rPr>
                <w:rFonts w:hint="default" w:eastAsia="仿宋_GB2312"/>
                <w:color w:val="000000"/>
                <w:sz w:val="24"/>
                <w:lang w:val="en-US" w:eastAsia="zh-CN"/>
              </w:rPr>
            </w:pPr>
          </w:p>
        </w:tc>
        <w:tc>
          <w:tcPr>
            <w:tcW w:w="1116" w:type="dxa"/>
          </w:tcPr>
          <w:p>
            <w:pPr>
              <w:spacing w:line="360" w:lineRule="auto"/>
              <w:jc w:val="center"/>
              <w:rPr>
                <w:rFonts w:hint="default" w:eastAsia="仿宋_GB2312"/>
                <w:color w:val="000000"/>
                <w:sz w:val="24"/>
                <w:lang w:val="en-US" w:eastAsia="zh-CN"/>
              </w:rPr>
            </w:pPr>
          </w:p>
        </w:tc>
        <w:tc>
          <w:tcPr>
            <w:tcW w:w="830" w:type="dxa"/>
            <w:vMerge w:val="continue"/>
          </w:tcPr>
          <w:p>
            <w:pPr>
              <w:spacing w:line="360" w:lineRule="auto"/>
              <w:jc w:val="center"/>
              <w:rPr>
                <w:rFonts w:ascii="仿宋_GB2312" w:hAnsi="宋体" w:eastAsia="仿宋_GB2312"/>
                <w:szCs w:val="21"/>
              </w:rPr>
            </w:pPr>
          </w:p>
        </w:tc>
      </w:tr>
    </w:tbl>
    <w:p>
      <w:pPr>
        <w:spacing w:after="100" w:afterAutospacing="1" w:line="240" w:lineRule="atLeast"/>
        <w:rPr>
          <w:rFonts w:asciiTheme="majorEastAsia" w:hAnsiTheme="majorEastAsia" w:eastAsiaTheme="majorEastAsia" w:cstheme="majorEastAsia"/>
          <w:b/>
          <w:szCs w:val="21"/>
        </w:rPr>
      </w:pPr>
    </w:p>
    <w:p>
      <w:pPr>
        <w:spacing w:after="100" w:afterAutospacing="1" w:line="240" w:lineRule="atLeast"/>
        <w:rPr>
          <w:rFonts w:asciiTheme="majorEastAsia" w:hAnsiTheme="majorEastAsia" w:eastAsiaTheme="majorEastAsia" w:cstheme="majorEastAsia"/>
          <w:b/>
          <w:szCs w:val="21"/>
        </w:rPr>
      </w:pPr>
    </w:p>
    <w:p>
      <w:pPr>
        <w:spacing w:after="100" w:afterAutospacing="1" w:line="240" w:lineRule="atLeast"/>
        <w:rPr>
          <w:rFonts w:asciiTheme="majorEastAsia" w:hAnsiTheme="majorEastAsia" w:eastAsiaTheme="majorEastAsia" w:cstheme="majorEastAsia"/>
          <w:b/>
          <w:szCs w:val="21"/>
        </w:rPr>
      </w:pPr>
    </w:p>
    <w:p>
      <w:pPr>
        <w:spacing w:after="100" w:afterAutospacing="1" w:line="240" w:lineRule="atLeast"/>
        <w:rPr>
          <w:rFonts w:asciiTheme="majorEastAsia" w:hAnsiTheme="majorEastAsia" w:eastAsiaTheme="majorEastAsia" w:cstheme="majorEastAsia"/>
          <w:b/>
          <w:szCs w:val="21"/>
        </w:rPr>
      </w:pPr>
    </w:p>
    <w:p>
      <w:pPr>
        <w:tabs>
          <w:tab w:val="left" w:pos="555"/>
        </w:tabs>
        <w:spacing w:line="640" w:lineRule="exact"/>
        <w:jc w:val="left"/>
        <w:textAlignment w:val="baseline"/>
        <w:rPr>
          <w:rFonts w:hint="default" w:ascii="微软雅黑" w:hAnsi="微软雅黑" w:eastAsia="微软雅黑" w:cs="微软雅黑"/>
          <w:b/>
          <w:sz w:val="24"/>
          <w:szCs w:val="24"/>
          <w:highlight w:val="none"/>
          <w:lang w:val="en-US" w:eastAsia="zh-CN"/>
        </w:rPr>
      </w:pPr>
      <w:r>
        <w:rPr>
          <w:rFonts w:hint="eastAsia" w:ascii="微软雅黑" w:hAnsi="微软雅黑" w:eastAsia="微软雅黑" w:cs="微软雅黑"/>
          <w:b/>
          <w:sz w:val="24"/>
          <w:szCs w:val="24"/>
          <w:highlight w:val="none"/>
          <w:lang w:eastAsia="zh-CN"/>
        </w:rPr>
        <w:t>附件</w:t>
      </w:r>
      <w:r>
        <w:rPr>
          <w:rFonts w:hint="eastAsia" w:ascii="微软雅黑" w:hAnsi="微软雅黑" w:eastAsia="微软雅黑" w:cs="微软雅黑"/>
          <w:b/>
          <w:sz w:val="24"/>
          <w:szCs w:val="24"/>
          <w:highlight w:val="none"/>
          <w:lang w:val="en-US" w:eastAsia="zh-CN"/>
        </w:rPr>
        <w:t>3</w:t>
      </w:r>
    </w:p>
    <w:p>
      <w:pPr>
        <w:tabs>
          <w:tab w:val="left" w:pos="555"/>
        </w:tabs>
        <w:spacing w:line="640" w:lineRule="exact"/>
        <w:jc w:val="center"/>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b/>
          <w:sz w:val="24"/>
          <w:szCs w:val="24"/>
          <w:highlight w:val="none"/>
        </w:rPr>
        <w:t>法人授权委托书</w:t>
      </w:r>
    </w:p>
    <w:p>
      <w:pPr>
        <w:tabs>
          <w:tab w:val="left" w:pos="555"/>
        </w:tabs>
        <w:spacing w:line="400" w:lineRule="exact"/>
        <w:jc w:val="center"/>
        <w:textAlignment w:val="baseline"/>
        <w:rPr>
          <w:rFonts w:hint="eastAsia" w:ascii="微软雅黑" w:hAnsi="微软雅黑" w:eastAsia="微软雅黑" w:cs="微软雅黑"/>
          <w:sz w:val="24"/>
          <w:szCs w:val="24"/>
          <w:highlight w:val="none"/>
        </w:rPr>
      </w:pPr>
    </w:p>
    <w:p>
      <w:pPr>
        <w:tabs>
          <w:tab w:val="left" w:pos="555"/>
        </w:tabs>
        <w:spacing w:line="400" w:lineRule="exact"/>
        <w:jc w:val="center"/>
        <w:textAlignment w:val="baseline"/>
        <w:rPr>
          <w:rFonts w:hint="eastAsia" w:ascii="微软雅黑" w:hAnsi="微软雅黑" w:eastAsia="微软雅黑" w:cs="微软雅黑"/>
          <w:sz w:val="24"/>
          <w:szCs w:val="24"/>
          <w:highlight w:val="none"/>
        </w:rPr>
      </w:pPr>
    </w:p>
    <w:p>
      <w:pPr>
        <w:tabs>
          <w:tab w:val="left" w:pos="555"/>
        </w:tabs>
        <w:spacing w:line="6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 xml:space="preserve">: </w:t>
      </w:r>
    </w:p>
    <w:p>
      <w:pPr>
        <w:pStyle w:val="8"/>
        <w:snapToGrid w:val="0"/>
        <w:spacing w:line="600" w:lineRule="exact"/>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我</w:t>
      </w:r>
      <w:r>
        <w:rPr>
          <w:rFonts w:hint="eastAsia" w:ascii="微软雅黑" w:hAnsi="微软雅黑" w:eastAsia="微软雅黑" w:cs="微软雅黑"/>
          <w:sz w:val="24"/>
          <w:szCs w:val="24"/>
          <w:highlight w:val="none"/>
          <w:u w:val="single"/>
        </w:rPr>
        <w:t xml:space="preserve">（姓名）        </w:t>
      </w:r>
      <w:r>
        <w:rPr>
          <w:rFonts w:hint="eastAsia" w:ascii="微软雅黑" w:hAnsi="微软雅黑" w:eastAsia="微软雅黑" w:cs="微软雅黑"/>
          <w:sz w:val="24"/>
          <w:szCs w:val="24"/>
          <w:highlight w:val="none"/>
        </w:rPr>
        <w:t>系 公司法定代表人。现授权我公司</w:t>
      </w:r>
      <w:r>
        <w:rPr>
          <w:rFonts w:hint="eastAsia" w:ascii="微软雅黑" w:hAnsi="微软雅黑" w:eastAsia="微软雅黑" w:cs="微软雅黑"/>
          <w:sz w:val="24"/>
          <w:szCs w:val="24"/>
          <w:highlight w:val="none"/>
          <w:u w:val="single"/>
        </w:rPr>
        <w:t>（姓名）          （身份证号：           ） 女士/先生，</w:t>
      </w:r>
      <w:r>
        <w:rPr>
          <w:rFonts w:hint="eastAsia" w:ascii="微软雅黑" w:hAnsi="微软雅黑" w:eastAsia="微软雅黑" w:cs="微软雅黑"/>
          <w:sz w:val="24"/>
          <w:szCs w:val="24"/>
          <w:highlight w:val="none"/>
        </w:rPr>
        <w:t xml:space="preserve"> 作为我公司合法代理人，以我公司名义并代表我公司全权处理</w:t>
      </w:r>
      <w:r>
        <w:rPr>
          <w:rFonts w:hint="eastAsia" w:ascii="微软雅黑" w:hAnsi="微软雅黑" w:eastAsia="微软雅黑" w:cs="微软雅黑"/>
          <w:sz w:val="22"/>
          <w:szCs w:val="22"/>
          <w:u w:val="single"/>
          <w:lang w:eastAsia="zh-CN"/>
        </w:rPr>
        <w:t>淮南市能源数据中心及数字经济万创园</w:t>
      </w:r>
      <w:r>
        <w:rPr>
          <w:rFonts w:hint="eastAsia" w:ascii="微软雅黑" w:hAnsi="微软雅黑" w:eastAsia="微软雅黑" w:cs="微软雅黑"/>
          <w:sz w:val="22"/>
          <w:szCs w:val="22"/>
          <w:u w:val="single"/>
          <w:lang w:val="en-US" w:eastAsia="zh-CN"/>
        </w:rPr>
        <w:t>-7#楼楼梯栏杆等</w:t>
      </w:r>
      <w:r>
        <w:rPr>
          <w:rFonts w:hint="eastAsia" w:ascii="微软雅黑" w:hAnsi="微软雅黑" w:eastAsia="微软雅黑" w:cs="微软雅黑"/>
          <w:sz w:val="22"/>
          <w:szCs w:val="22"/>
          <w:u w:val="single"/>
          <w:lang w:eastAsia="zh-CN"/>
        </w:rPr>
        <w:t>护栏</w:t>
      </w:r>
      <w:r>
        <w:rPr>
          <w:rFonts w:hint="eastAsia" w:ascii="微软雅黑" w:hAnsi="微软雅黑" w:eastAsia="微软雅黑" w:cs="微软雅黑"/>
          <w:sz w:val="24"/>
          <w:szCs w:val="24"/>
          <w:highlight w:val="none"/>
        </w:rPr>
        <w:t>工程项目的委托事宜。其在授权范围和有效期内，处理与之相关的一切事务所实施的行为均具有法律效力，我公司全部予以确认。</w:t>
      </w:r>
    </w:p>
    <w:p>
      <w:pPr>
        <w:pStyle w:val="8"/>
        <w:snapToGrid w:val="0"/>
        <w:spacing w:line="600" w:lineRule="exact"/>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本授权有效期限：自　　　年　　月　　日至　　年　　月　　日止。</w:t>
      </w:r>
    </w:p>
    <w:p>
      <w:pPr>
        <w:pStyle w:val="8"/>
        <w:snapToGrid w:val="0"/>
        <w:spacing w:line="600" w:lineRule="exact"/>
        <w:ind w:firstLine="420"/>
        <w:textAlignment w:val="baseline"/>
        <w:rPr>
          <w:rFonts w:hint="eastAsia" w:ascii="微软雅黑" w:hAnsi="微软雅黑" w:eastAsia="微软雅黑" w:cs="微软雅黑"/>
          <w:sz w:val="24"/>
          <w:szCs w:val="24"/>
          <w:highlight w:val="none"/>
        </w:rPr>
      </w:pPr>
    </w:p>
    <w:p>
      <w:pPr>
        <w:spacing w:line="6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委托单位名称：（盖章）</w:t>
      </w:r>
    </w:p>
    <w:p>
      <w:pPr>
        <w:spacing w:line="400" w:lineRule="exact"/>
        <w:ind w:firstLine="2400" w:firstLineChars="1000"/>
        <w:textAlignment w:val="baseline"/>
        <w:rPr>
          <w:rFonts w:hint="eastAsia" w:ascii="微软雅黑" w:hAnsi="微软雅黑" w:eastAsia="微软雅黑" w:cs="微软雅黑"/>
          <w:sz w:val="24"/>
          <w:szCs w:val="24"/>
          <w:highlight w:val="none"/>
        </w:rPr>
      </w:pPr>
    </w:p>
    <w:p>
      <w:pPr>
        <w:spacing w:line="4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法定代表人姓名：（签名或盖章）</w:t>
      </w:r>
    </w:p>
    <w:p>
      <w:pPr>
        <w:spacing w:line="400" w:lineRule="exact"/>
        <w:ind w:firstLine="3360"/>
        <w:jc w:val="center"/>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年   月   日</w:t>
      </w:r>
    </w:p>
    <w:p>
      <w:pPr>
        <w:spacing w:line="400" w:lineRule="exact"/>
        <w:ind w:firstLine="3360"/>
        <w:jc w:val="center"/>
        <w:textAlignment w:val="baseline"/>
        <w:rPr>
          <w:rFonts w:hint="eastAsia" w:ascii="微软雅黑" w:hAnsi="微软雅黑" w:eastAsia="微软雅黑" w:cs="微软雅黑"/>
          <w:sz w:val="24"/>
          <w:szCs w:val="24"/>
          <w:highlight w:val="none"/>
        </w:rPr>
      </w:pPr>
    </w:p>
    <w:p>
      <w:pPr>
        <w:spacing w:line="4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注：1. 本委托书为法人授权委托被委托人在本工程专用，无委转委托权；</w:t>
      </w:r>
    </w:p>
    <w:p>
      <w:pPr>
        <w:spacing w:line="400" w:lineRule="exact"/>
        <w:ind w:firstLine="435"/>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sz w:val="24"/>
          <w:szCs w:val="24"/>
          <w:highlight w:val="none"/>
        </w:rPr>
        <w:t>2. 授权委托书须由授权委托单位法定代表人签名或盖章，并说明委托事项和权限方为有效。</w:t>
      </w:r>
    </w:p>
    <w:p>
      <w:pPr>
        <w:spacing w:line="400" w:lineRule="exact"/>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3. 法定代表人或被委托人须提供合法有效的身份证明证件；</w:t>
      </w:r>
    </w:p>
    <w:p>
      <w:pPr>
        <w:spacing w:line="400" w:lineRule="exact"/>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4. 此书一式三份。一份由委托人存查，二份递交询价人存卷。</w:t>
      </w:r>
    </w:p>
    <w:p>
      <w:pPr>
        <w:pStyle w:val="8"/>
        <w:snapToGrid w:val="0"/>
        <w:spacing w:line="400" w:lineRule="exact"/>
        <w:textAlignment w:val="baseline"/>
        <w:rPr>
          <w:rFonts w:hint="eastAsia" w:ascii="微软雅黑" w:hAnsi="微软雅黑" w:eastAsia="微软雅黑" w:cs="微软雅黑"/>
          <w:sz w:val="24"/>
          <w:szCs w:val="24"/>
          <w:highlight w:val="none"/>
        </w:rPr>
      </w:pPr>
    </w:p>
    <w:p/>
    <w:p>
      <w:pPr>
        <w:spacing w:after="100" w:afterAutospacing="1" w:line="240" w:lineRule="atLeast"/>
        <w:rPr>
          <w:rFonts w:asciiTheme="majorEastAsia" w:hAnsiTheme="majorEastAsia" w:eastAsiaTheme="majorEastAsia" w:cstheme="majorEastAsia"/>
          <w:b/>
          <w:szCs w:val="21"/>
        </w:rPr>
      </w:pPr>
    </w:p>
    <w:sectPr>
      <w:pgSz w:w="11906" w:h="16838"/>
      <w:pgMar w:top="1800" w:right="1440" w:bottom="1800"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12</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hint="eastAsia" w:ascii="仿宋" w:hAnsi="仿宋" w:eastAsia="仿宋" w:cs="仿宋"/>
        <w:bCs/>
        <w:sz w:val="18"/>
        <w:szCs w:val="18"/>
      </w:rPr>
    </w:pPr>
    <w:r>
      <w:rPr>
        <w:rFonts w:hint="eastAsia" w:asciiTheme="majorEastAsia" w:hAnsiTheme="majorEastAsia" w:eastAsiaTheme="majorEastAsia" w:cstheme="majorEastAsia"/>
        <w:szCs w:val="21"/>
        <w:lang w:eastAsia="zh-CN"/>
      </w:rPr>
      <w:t>淮南市能源数据中心及数字经济万创园</w:t>
    </w:r>
    <w:r>
      <w:rPr>
        <w:rFonts w:hint="eastAsia" w:asciiTheme="majorEastAsia" w:hAnsiTheme="majorEastAsia" w:eastAsiaTheme="majorEastAsia" w:cstheme="majorEastAsia"/>
        <w:szCs w:val="21"/>
        <w:lang w:val="en-US" w:eastAsia="zh-CN"/>
      </w:rPr>
      <w:t>-7#楼楼梯栏杆等</w:t>
    </w:r>
    <w:r>
      <w:rPr>
        <w:rFonts w:hint="eastAsia" w:ascii="仿宋" w:hAnsi="仿宋" w:eastAsia="仿宋" w:cs="仿宋"/>
        <w:bCs/>
        <w:sz w:val="18"/>
        <w:szCs w:val="18"/>
        <w:lang w:eastAsia="zh-CN"/>
      </w:rPr>
      <w:t>护栏工程</w:t>
    </w:r>
    <w:r>
      <w:rPr>
        <w:rFonts w:hint="eastAsia" w:ascii="仿宋" w:hAnsi="仿宋" w:eastAsia="仿宋" w:cs="仿宋"/>
        <w:bCs/>
        <w:sz w:val="18"/>
        <w:szCs w:val="18"/>
      </w:rPr>
      <w:t>询价文件</w:t>
    </w: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0C55F4"/>
    <w:multiLevelType w:val="multilevel"/>
    <w:tmpl w:val="650C55F4"/>
    <w:lvl w:ilvl="0" w:tentative="0">
      <w:start w:val="1"/>
      <w:numFmt w:val="decimal"/>
      <w:lvlText w:val="%1、"/>
      <w:lvlJc w:val="left"/>
      <w:pPr>
        <w:tabs>
          <w:tab w:val="left" w:pos="1320"/>
        </w:tabs>
        <w:ind w:left="1260" w:hanging="840"/>
      </w:pPr>
      <w:rPr>
        <w:rFonts w:hint="default"/>
      </w:rPr>
    </w:lvl>
    <w:lvl w:ilvl="1" w:tentative="0">
      <w:start w:val="1"/>
      <w:numFmt w:val="lowerLetter"/>
      <w:lvlText w:val="%2)"/>
      <w:lvlJc w:val="left"/>
      <w:pPr>
        <w:tabs>
          <w:tab w:val="left" w:pos="1320"/>
        </w:tabs>
        <w:ind w:left="1260" w:hanging="420"/>
      </w:pPr>
    </w:lvl>
    <w:lvl w:ilvl="2" w:tentative="0">
      <w:start w:val="1"/>
      <w:numFmt w:val="lowerRoman"/>
      <w:lvlText w:val="%3."/>
      <w:lvlJc w:val="right"/>
      <w:pPr>
        <w:tabs>
          <w:tab w:val="left" w:pos="1740"/>
        </w:tabs>
        <w:ind w:left="1680" w:hanging="420"/>
      </w:pPr>
    </w:lvl>
    <w:lvl w:ilvl="3" w:tentative="0">
      <w:start w:val="1"/>
      <w:numFmt w:val="decimal"/>
      <w:lvlText w:val="%4."/>
      <w:lvlJc w:val="left"/>
      <w:pPr>
        <w:tabs>
          <w:tab w:val="left" w:pos="2160"/>
        </w:tabs>
        <w:ind w:left="2100" w:hanging="420"/>
      </w:pPr>
    </w:lvl>
    <w:lvl w:ilvl="4" w:tentative="0">
      <w:start w:val="1"/>
      <w:numFmt w:val="lowerLetter"/>
      <w:lvlText w:val="%5)"/>
      <w:lvlJc w:val="left"/>
      <w:pPr>
        <w:tabs>
          <w:tab w:val="left" w:pos="2580"/>
        </w:tabs>
        <w:ind w:left="2520" w:hanging="420"/>
      </w:pPr>
    </w:lvl>
    <w:lvl w:ilvl="5" w:tentative="0">
      <w:start w:val="1"/>
      <w:numFmt w:val="lowerRoman"/>
      <w:lvlText w:val="%6."/>
      <w:lvlJc w:val="right"/>
      <w:pPr>
        <w:tabs>
          <w:tab w:val="left" w:pos="3000"/>
        </w:tabs>
        <w:ind w:left="2940" w:hanging="420"/>
      </w:pPr>
    </w:lvl>
    <w:lvl w:ilvl="6" w:tentative="0">
      <w:start w:val="1"/>
      <w:numFmt w:val="decimal"/>
      <w:lvlText w:val="%7."/>
      <w:lvlJc w:val="left"/>
      <w:pPr>
        <w:tabs>
          <w:tab w:val="left" w:pos="3420"/>
        </w:tabs>
        <w:ind w:left="3360" w:hanging="420"/>
      </w:pPr>
    </w:lvl>
    <w:lvl w:ilvl="7" w:tentative="0">
      <w:start w:val="1"/>
      <w:numFmt w:val="lowerLetter"/>
      <w:lvlText w:val="%8)"/>
      <w:lvlJc w:val="left"/>
      <w:pPr>
        <w:tabs>
          <w:tab w:val="left" w:pos="3840"/>
        </w:tabs>
        <w:ind w:left="3780" w:hanging="420"/>
      </w:pPr>
    </w:lvl>
    <w:lvl w:ilvl="8" w:tentative="0">
      <w:start w:val="1"/>
      <w:numFmt w:val="lowerRoman"/>
      <w:lvlText w:val="%9."/>
      <w:lvlJc w:val="right"/>
      <w:pPr>
        <w:tabs>
          <w:tab w:val="left" w:pos="4260"/>
        </w:tabs>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JiNTk3ZDBjNWIzOWQyMGFlZTVjNDM2ZTc4ZWQ3NDUifQ=="/>
  </w:docVars>
  <w:rsids>
    <w:rsidRoot w:val="00CB5E44"/>
    <w:rsid w:val="00005EE4"/>
    <w:rsid w:val="0000683D"/>
    <w:rsid w:val="00011458"/>
    <w:rsid w:val="0001342A"/>
    <w:rsid w:val="000144BD"/>
    <w:rsid w:val="000151AF"/>
    <w:rsid w:val="0001711E"/>
    <w:rsid w:val="00017159"/>
    <w:rsid w:val="00021D0D"/>
    <w:rsid w:val="000222CB"/>
    <w:rsid w:val="000244BF"/>
    <w:rsid w:val="000263A1"/>
    <w:rsid w:val="00026825"/>
    <w:rsid w:val="000272E0"/>
    <w:rsid w:val="000331A6"/>
    <w:rsid w:val="00040C93"/>
    <w:rsid w:val="00040D0F"/>
    <w:rsid w:val="0004274B"/>
    <w:rsid w:val="00047111"/>
    <w:rsid w:val="000471C2"/>
    <w:rsid w:val="000531CC"/>
    <w:rsid w:val="00055D2E"/>
    <w:rsid w:val="00056C9B"/>
    <w:rsid w:val="00060D13"/>
    <w:rsid w:val="00062D04"/>
    <w:rsid w:val="00064025"/>
    <w:rsid w:val="000641BF"/>
    <w:rsid w:val="000655A6"/>
    <w:rsid w:val="00067464"/>
    <w:rsid w:val="00070727"/>
    <w:rsid w:val="000710F2"/>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A095B"/>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D5220"/>
    <w:rsid w:val="000E12BA"/>
    <w:rsid w:val="000E2236"/>
    <w:rsid w:val="000E273C"/>
    <w:rsid w:val="000E33D8"/>
    <w:rsid w:val="000E7032"/>
    <w:rsid w:val="000F014B"/>
    <w:rsid w:val="000F0BAC"/>
    <w:rsid w:val="000F1B9C"/>
    <w:rsid w:val="000F560C"/>
    <w:rsid w:val="000F59BC"/>
    <w:rsid w:val="00101A8D"/>
    <w:rsid w:val="001024F6"/>
    <w:rsid w:val="00103E5D"/>
    <w:rsid w:val="001076EB"/>
    <w:rsid w:val="001111B5"/>
    <w:rsid w:val="00114391"/>
    <w:rsid w:val="0011477E"/>
    <w:rsid w:val="001170EE"/>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470E7"/>
    <w:rsid w:val="00147994"/>
    <w:rsid w:val="0015065E"/>
    <w:rsid w:val="00153E05"/>
    <w:rsid w:val="001543A8"/>
    <w:rsid w:val="00156385"/>
    <w:rsid w:val="00163B2E"/>
    <w:rsid w:val="001675ED"/>
    <w:rsid w:val="00167D66"/>
    <w:rsid w:val="00173265"/>
    <w:rsid w:val="00173532"/>
    <w:rsid w:val="0018103D"/>
    <w:rsid w:val="00183C45"/>
    <w:rsid w:val="00183CE5"/>
    <w:rsid w:val="00184981"/>
    <w:rsid w:val="00185582"/>
    <w:rsid w:val="00185DAC"/>
    <w:rsid w:val="0019535C"/>
    <w:rsid w:val="00196F74"/>
    <w:rsid w:val="001A0FDE"/>
    <w:rsid w:val="001A660A"/>
    <w:rsid w:val="001A6F83"/>
    <w:rsid w:val="001B0C2D"/>
    <w:rsid w:val="001B136E"/>
    <w:rsid w:val="001B2E50"/>
    <w:rsid w:val="001B3453"/>
    <w:rsid w:val="001B3E73"/>
    <w:rsid w:val="001C532B"/>
    <w:rsid w:val="001D299E"/>
    <w:rsid w:val="001D4BC0"/>
    <w:rsid w:val="001E1EF3"/>
    <w:rsid w:val="001E2861"/>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4182C"/>
    <w:rsid w:val="00244480"/>
    <w:rsid w:val="0025025F"/>
    <w:rsid w:val="002505D8"/>
    <w:rsid w:val="00251540"/>
    <w:rsid w:val="00252063"/>
    <w:rsid w:val="00254C55"/>
    <w:rsid w:val="0025520A"/>
    <w:rsid w:val="00257D63"/>
    <w:rsid w:val="00262207"/>
    <w:rsid w:val="0026356D"/>
    <w:rsid w:val="00265407"/>
    <w:rsid w:val="002811F5"/>
    <w:rsid w:val="002824B2"/>
    <w:rsid w:val="002852F1"/>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BB3"/>
    <w:rsid w:val="002C5226"/>
    <w:rsid w:val="002C589F"/>
    <w:rsid w:val="002C5AA7"/>
    <w:rsid w:val="002C5E93"/>
    <w:rsid w:val="002C7A32"/>
    <w:rsid w:val="002D1C64"/>
    <w:rsid w:val="002D435E"/>
    <w:rsid w:val="002D6F8A"/>
    <w:rsid w:val="002E13B8"/>
    <w:rsid w:val="002E20D5"/>
    <w:rsid w:val="002E4611"/>
    <w:rsid w:val="002E63F1"/>
    <w:rsid w:val="002E7716"/>
    <w:rsid w:val="002F1B4F"/>
    <w:rsid w:val="002F26C1"/>
    <w:rsid w:val="002F58DA"/>
    <w:rsid w:val="00300E28"/>
    <w:rsid w:val="00301EDD"/>
    <w:rsid w:val="00301FE2"/>
    <w:rsid w:val="0030226F"/>
    <w:rsid w:val="0030232D"/>
    <w:rsid w:val="0030457A"/>
    <w:rsid w:val="00304818"/>
    <w:rsid w:val="003074A1"/>
    <w:rsid w:val="003074AF"/>
    <w:rsid w:val="0031273B"/>
    <w:rsid w:val="00313189"/>
    <w:rsid w:val="00314D6F"/>
    <w:rsid w:val="00315678"/>
    <w:rsid w:val="00315C2F"/>
    <w:rsid w:val="00322740"/>
    <w:rsid w:val="003234E9"/>
    <w:rsid w:val="00324E19"/>
    <w:rsid w:val="003300B0"/>
    <w:rsid w:val="003302F5"/>
    <w:rsid w:val="00331F71"/>
    <w:rsid w:val="00337B79"/>
    <w:rsid w:val="00343A8C"/>
    <w:rsid w:val="0034599D"/>
    <w:rsid w:val="00352EA8"/>
    <w:rsid w:val="00355AE1"/>
    <w:rsid w:val="00355FDB"/>
    <w:rsid w:val="0035787F"/>
    <w:rsid w:val="00362E67"/>
    <w:rsid w:val="00363CF5"/>
    <w:rsid w:val="00363E06"/>
    <w:rsid w:val="003676F3"/>
    <w:rsid w:val="00370C23"/>
    <w:rsid w:val="00371FE9"/>
    <w:rsid w:val="0037297D"/>
    <w:rsid w:val="0037310A"/>
    <w:rsid w:val="0037476F"/>
    <w:rsid w:val="003755FA"/>
    <w:rsid w:val="00382C56"/>
    <w:rsid w:val="00383E5E"/>
    <w:rsid w:val="0038453E"/>
    <w:rsid w:val="00386E49"/>
    <w:rsid w:val="00386E7A"/>
    <w:rsid w:val="00387326"/>
    <w:rsid w:val="00391444"/>
    <w:rsid w:val="00391C9F"/>
    <w:rsid w:val="003960C5"/>
    <w:rsid w:val="003A0EDE"/>
    <w:rsid w:val="003A1A89"/>
    <w:rsid w:val="003A20E5"/>
    <w:rsid w:val="003A62D0"/>
    <w:rsid w:val="003B03A0"/>
    <w:rsid w:val="003B171A"/>
    <w:rsid w:val="003B322A"/>
    <w:rsid w:val="003B4E23"/>
    <w:rsid w:val="003B5B4D"/>
    <w:rsid w:val="003B6CA7"/>
    <w:rsid w:val="003B7210"/>
    <w:rsid w:val="003B7E86"/>
    <w:rsid w:val="003C0E30"/>
    <w:rsid w:val="003C3AC3"/>
    <w:rsid w:val="003C6F83"/>
    <w:rsid w:val="003D00FA"/>
    <w:rsid w:val="003D266B"/>
    <w:rsid w:val="003D4B05"/>
    <w:rsid w:val="003D55E5"/>
    <w:rsid w:val="003D5C37"/>
    <w:rsid w:val="003D6051"/>
    <w:rsid w:val="003D7CF5"/>
    <w:rsid w:val="003E2C0A"/>
    <w:rsid w:val="003F61E6"/>
    <w:rsid w:val="003F6C22"/>
    <w:rsid w:val="003F79AE"/>
    <w:rsid w:val="003F7E98"/>
    <w:rsid w:val="00402D3A"/>
    <w:rsid w:val="00403B2D"/>
    <w:rsid w:val="00404252"/>
    <w:rsid w:val="00410435"/>
    <w:rsid w:val="00412C8E"/>
    <w:rsid w:val="00413286"/>
    <w:rsid w:val="004132A6"/>
    <w:rsid w:val="004134F7"/>
    <w:rsid w:val="00414A8D"/>
    <w:rsid w:val="00417CE8"/>
    <w:rsid w:val="004208FA"/>
    <w:rsid w:val="00423C31"/>
    <w:rsid w:val="004245DC"/>
    <w:rsid w:val="00424FF9"/>
    <w:rsid w:val="004255AF"/>
    <w:rsid w:val="00427959"/>
    <w:rsid w:val="00432679"/>
    <w:rsid w:val="004366C1"/>
    <w:rsid w:val="004400C0"/>
    <w:rsid w:val="0044213A"/>
    <w:rsid w:val="00443C7A"/>
    <w:rsid w:val="00446C91"/>
    <w:rsid w:val="004477C3"/>
    <w:rsid w:val="00450003"/>
    <w:rsid w:val="004510AB"/>
    <w:rsid w:val="004531E8"/>
    <w:rsid w:val="004534DA"/>
    <w:rsid w:val="00454223"/>
    <w:rsid w:val="00456ECD"/>
    <w:rsid w:val="004612D3"/>
    <w:rsid w:val="004617EC"/>
    <w:rsid w:val="00464B8F"/>
    <w:rsid w:val="00465598"/>
    <w:rsid w:val="00465EF4"/>
    <w:rsid w:val="00480AB6"/>
    <w:rsid w:val="00484431"/>
    <w:rsid w:val="0048520B"/>
    <w:rsid w:val="00485719"/>
    <w:rsid w:val="00486A18"/>
    <w:rsid w:val="004901A6"/>
    <w:rsid w:val="0049028E"/>
    <w:rsid w:val="0049299E"/>
    <w:rsid w:val="004956DF"/>
    <w:rsid w:val="004977AA"/>
    <w:rsid w:val="004A0A30"/>
    <w:rsid w:val="004A19D3"/>
    <w:rsid w:val="004A2B78"/>
    <w:rsid w:val="004A5287"/>
    <w:rsid w:val="004A640D"/>
    <w:rsid w:val="004A6CD2"/>
    <w:rsid w:val="004B271B"/>
    <w:rsid w:val="004B3C07"/>
    <w:rsid w:val="004B4D05"/>
    <w:rsid w:val="004B4EBD"/>
    <w:rsid w:val="004B518F"/>
    <w:rsid w:val="004B6934"/>
    <w:rsid w:val="004B74A8"/>
    <w:rsid w:val="004C1EE5"/>
    <w:rsid w:val="004C3D60"/>
    <w:rsid w:val="004C5847"/>
    <w:rsid w:val="004C739A"/>
    <w:rsid w:val="004D1536"/>
    <w:rsid w:val="004D4BA0"/>
    <w:rsid w:val="004D610A"/>
    <w:rsid w:val="004D69BD"/>
    <w:rsid w:val="004E326F"/>
    <w:rsid w:val="004E5FB6"/>
    <w:rsid w:val="004E63FC"/>
    <w:rsid w:val="004F1C50"/>
    <w:rsid w:val="004F2178"/>
    <w:rsid w:val="004F4FF7"/>
    <w:rsid w:val="004F7C49"/>
    <w:rsid w:val="005034B7"/>
    <w:rsid w:val="00507E8F"/>
    <w:rsid w:val="00511D37"/>
    <w:rsid w:val="005120E1"/>
    <w:rsid w:val="0051430F"/>
    <w:rsid w:val="00515EEB"/>
    <w:rsid w:val="00522CE5"/>
    <w:rsid w:val="0052422F"/>
    <w:rsid w:val="00527BEE"/>
    <w:rsid w:val="0053069B"/>
    <w:rsid w:val="00530C84"/>
    <w:rsid w:val="005354FD"/>
    <w:rsid w:val="0053735A"/>
    <w:rsid w:val="00537D64"/>
    <w:rsid w:val="00541116"/>
    <w:rsid w:val="0054218B"/>
    <w:rsid w:val="00543686"/>
    <w:rsid w:val="00543907"/>
    <w:rsid w:val="00544C9A"/>
    <w:rsid w:val="00545E18"/>
    <w:rsid w:val="00550F47"/>
    <w:rsid w:val="00552E21"/>
    <w:rsid w:val="005555C0"/>
    <w:rsid w:val="00556797"/>
    <w:rsid w:val="00557C71"/>
    <w:rsid w:val="005621F7"/>
    <w:rsid w:val="00563523"/>
    <w:rsid w:val="00564F16"/>
    <w:rsid w:val="00565223"/>
    <w:rsid w:val="0056781E"/>
    <w:rsid w:val="00572E73"/>
    <w:rsid w:val="00576A81"/>
    <w:rsid w:val="00580B91"/>
    <w:rsid w:val="00583C7E"/>
    <w:rsid w:val="00585A3A"/>
    <w:rsid w:val="00585A7E"/>
    <w:rsid w:val="005956ED"/>
    <w:rsid w:val="005A0441"/>
    <w:rsid w:val="005A0D7C"/>
    <w:rsid w:val="005A21D2"/>
    <w:rsid w:val="005A6C81"/>
    <w:rsid w:val="005A718F"/>
    <w:rsid w:val="005A71C4"/>
    <w:rsid w:val="005A749C"/>
    <w:rsid w:val="005B2EB5"/>
    <w:rsid w:val="005B59BC"/>
    <w:rsid w:val="005B7121"/>
    <w:rsid w:val="005C0E28"/>
    <w:rsid w:val="005C47A0"/>
    <w:rsid w:val="005C5404"/>
    <w:rsid w:val="005C785A"/>
    <w:rsid w:val="005C7F18"/>
    <w:rsid w:val="005D0D72"/>
    <w:rsid w:val="005D134A"/>
    <w:rsid w:val="005D13E8"/>
    <w:rsid w:val="005D3E80"/>
    <w:rsid w:val="005D43A8"/>
    <w:rsid w:val="005D4EBD"/>
    <w:rsid w:val="005D6B2F"/>
    <w:rsid w:val="005E1F0B"/>
    <w:rsid w:val="005E225F"/>
    <w:rsid w:val="005E25D2"/>
    <w:rsid w:val="005E40F8"/>
    <w:rsid w:val="005E5FAA"/>
    <w:rsid w:val="005F1A2C"/>
    <w:rsid w:val="005F5B83"/>
    <w:rsid w:val="005F5EF6"/>
    <w:rsid w:val="005F7D29"/>
    <w:rsid w:val="005F7E70"/>
    <w:rsid w:val="005F7F14"/>
    <w:rsid w:val="00602D76"/>
    <w:rsid w:val="0060369A"/>
    <w:rsid w:val="00604979"/>
    <w:rsid w:val="00622138"/>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F57"/>
    <w:rsid w:val="00661D44"/>
    <w:rsid w:val="00665336"/>
    <w:rsid w:val="006673E0"/>
    <w:rsid w:val="0067139C"/>
    <w:rsid w:val="006713DE"/>
    <w:rsid w:val="0067790D"/>
    <w:rsid w:val="00677D1D"/>
    <w:rsid w:val="0068090E"/>
    <w:rsid w:val="0068364D"/>
    <w:rsid w:val="0068554B"/>
    <w:rsid w:val="00690993"/>
    <w:rsid w:val="00690E95"/>
    <w:rsid w:val="00694033"/>
    <w:rsid w:val="006976AA"/>
    <w:rsid w:val="006A1AFA"/>
    <w:rsid w:val="006A25EB"/>
    <w:rsid w:val="006A6211"/>
    <w:rsid w:val="006A6F93"/>
    <w:rsid w:val="006B11F6"/>
    <w:rsid w:val="006B219D"/>
    <w:rsid w:val="006C0E3A"/>
    <w:rsid w:val="006C21BD"/>
    <w:rsid w:val="006C22A5"/>
    <w:rsid w:val="006C37CC"/>
    <w:rsid w:val="006C4852"/>
    <w:rsid w:val="006C4C39"/>
    <w:rsid w:val="006C58F7"/>
    <w:rsid w:val="006D2CF9"/>
    <w:rsid w:val="006D59A3"/>
    <w:rsid w:val="006E147D"/>
    <w:rsid w:val="006E6F84"/>
    <w:rsid w:val="006F0BEA"/>
    <w:rsid w:val="006F12AC"/>
    <w:rsid w:val="006F1D4E"/>
    <w:rsid w:val="006F3547"/>
    <w:rsid w:val="006F5F49"/>
    <w:rsid w:val="006F720D"/>
    <w:rsid w:val="007024B7"/>
    <w:rsid w:val="00702764"/>
    <w:rsid w:val="00704F5B"/>
    <w:rsid w:val="007051C1"/>
    <w:rsid w:val="00705A05"/>
    <w:rsid w:val="00720DAA"/>
    <w:rsid w:val="00721532"/>
    <w:rsid w:val="00724BB2"/>
    <w:rsid w:val="0072533F"/>
    <w:rsid w:val="00725789"/>
    <w:rsid w:val="00727C6A"/>
    <w:rsid w:val="00731071"/>
    <w:rsid w:val="00731E37"/>
    <w:rsid w:val="00741143"/>
    <w:rsid w:val="00741A4A"/>
    <w:rsid w:val="00741E2A"/>
    <w:rsid w:val="007420BF"/>
    <w:rsid w:val="00746218"/>
    <w:rsid w:val="0075129A"/>
    <w:rsid w:val="00751E36"/>
    <w:rsid w:val="00753181"/>
    <w:rsid w:val="007537CE"/>
    <w:rsid w:val="00753C1C"/>
    <w:rsid w:val="00753DB5"/>
    <w:rsid w:val="0075518C"/>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1534"/>
    <w:rsid w:val="007820DE"/>
    <w:rsid w:val="00782754"/>
    <w:rsid w:val="0078427E"/>
    <w:rsid w:val="007869E4"/>
    <w:rsid w:val="007957DA"/>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2E19"/>
    <w:rsid w:val="00802F6A"/>
    <w:rsid w:val="00804682"/>
    <w:rsid w:val="00805176"/>
    <w:rsid w:val="00805F16"/>
    <w:rsid w:val="00806251"/>
    <w:rsid w:val="008107BB"/>
    <w:rsid w:val="0081208A"/>
    <w:rsid w:val="008122E5"/>
    <w:rsid w:val="0081499F"/>
    <w:rsid w:val="00821AA3"/>
    <w:rsid w:val="00826577"/>
    <w:rsid w:val="00831AC1"/>
    <w:rsid w:val="00832269"/>
    <w:rsid w:val="0083293D"/>
    <w:rsid w:val="00833F2C"/>
    <w:rsid w:val="008360CE"/>
    <w:rsid w:val="008425E6"/>
    <w:rsid w:val="0084606D"/>
    <w:rsid w:val="008468FC"/>
    <w:rsid w:val="00846F66"/>
    <w:rsid w:val="008475DB"/>
    <w:rsid w:val="00850682"/>
    <w:rsid w:val="00851F26"/>
    <w:rsid w:val="00853AA0"/>
    <w:rsid w:val="008547E2"/>
    <w:rsid w:val="0085501D"/>
    <w:rsid w:val="0085531C"/>
    <w:rsid w:val="00857DAB"/>
    <w:rsid w:val="00860E99"/>
    <w:rsid w:val="008615BC"/>
    <w:rsid w:val="00866C5B"/>
    <w:rsid w:val="00867721"/>
    <w:rsid w:val="00867C5B"/>
    <w:rsid w:val="008718DF"/>
    <w:rsid w:val="00873096"/>
    <w:rsid w:val="008745BB"/>
    <w:rsid w:val="00883A5B"/>
    <w:rsid w:val="00883D47"/>
    <w:rsid w:val="0088575F"/>
    <w:rsid w:val="008869E6"/>
    <w:rsid w:val="00886EEC"/>
    <w:rsid w:val="0089277B"/>
    <w:rsid w:val="0089498E"/>
    <w:rsid w:val="00897ECC"/>
    <w:rsid w:val="008A3130"/>
    <w:rsid w:val="008B188A"/>
    <w:rsid w:val="008B2043"/>
    <w:rsid w:val="008B2F0E"/>
    <w:rsid w:val="008B5474"/>
    <w:rsid w:val="008B6A7D"/>
    <w:rsid w:val="008C05DE"/>
    <w:rsid w:val="008C1906"/>
    <w:rsid w:val="008C1A6E"/>
    <w:rsid w:val="008C282E"/>
    <w:rsid w:val="008C43FD"/>
    <w:rsid w:val="008C45E6"/>
    <w:rsid w:val="008D2A9D"/>
    <w:rsid w:val="008D43AE"/>
    <w:rsid w:val="008D4463"/>
    <w:rsid w:val="008D6E24"/>
    <w:rsid w:val="008D7E75"/>
    <w:rsid w:val="008E01A1"/>
    <w:rsid w:val="008E2C50"/>
    <w:rsid w:val="008E5959"/>
    <w:rsid w:val="008E6487"/>
    <w:rsid w:val="008F30A2"/>
    <w:rsid w:val="008F5EE5"/>
    <w:rsid w:val="008F689E"/>
    <w:rsid w:val="00900C70"/>
    <w:rsid w:val="00902C60"/>
    <w:rsid w:val="009050C6"/>
    <w:rsid w:val="00905D79"/>
    <w:rsid w:val="00905FD3"/>
    <w:rsid w:val="009077F3"/>
    <w:rsid w:val="0091487C"/>
    <w:rsid w:val="00914C34"/>
    <w:rsid w:val="009222C4"/>
    <w:rsid w:val="0092641B"/>
    <w:rsid w:val="00930EAF"/>
    <w:rsid w:val="00933FDD"/>
    <w:rsid w:val="00934506"/>
    <w:rsid w:val="0093533F"/>
    <w:rsid w:val="00936988"/>
    <w:rsid w:val="00941CBF"/>
    <w:rsid w:val="00947215"/>
    <w:rsid w:val="009544D1"/>
    <w:rsid w:val="009552C6"/>
    <w:rsid w:val="00957C56"/>
    <w:rsid w:val="00957F57"/>
    <w:rsid w:val="009600AF"/>
    <w:rsid w:val="0096345B"/>
    <w:rsid w:val="00965412"/>
    <w:rsid w:val="0096545A"/>
    <w:rsid w:val="00972237"/>
    <w:rsid w:val="00982A56"/>
    <w:rsid w:val="00984EAA"/>
    <w:rsid w:val="00986E1E"/>
    <w:rsid w:val="00990032"/>
    <w:rsid w:val="0099071B"/>
    <w:rsid w:val="0099086A"/>
    <w:rsid w:val="00994942"/>
    <w:rsid w:val="00996978"/>
    <w:rsid w:val="009A0645"/>
    <w:rsid w:val="009A4063"/>
    <w:rsid w:val="009B2BCC"/>
    <w:rsid w:val="009B5DDD"/>
    <w:rsid w:val="009C2630"/>
    <w:rsid w:val="009C4EEC"/>
    <w:rsid w:val="009C607A"/>
    <w:rsid w:val="009D1AF1"/>
    <w:rsid w:val="009D4852"/>
    <w:rsid w:val="009D650F"/>
    <w:rsid w:val="009D74B2"/>
    <w:rsid w:val="009E36E6"/>
    <w:rsid w:val="009E3CF2"/>
    <w:rsid w:val="009E58C8"/>
    <w:rsid w:val="009E677B"/>
    <w:rsid w:val="009F4017"/>
    <w:rsid w:val="009F4824"/>
    <w:rsid w:val="00A01C5E"/>
    <w:rsid w:val="00A045FE"/>
    <w:rsid w:val="00A060E1"/>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9D6"/>
    <w:rsid w:val="00A51E33"/>
    <w:rsid w:val="00A521A3"/>
    <w:rsid w:val="00A569F6"/>
    <w:rsid w:val="00A57D9C"/>
    <w:rsid w:val="00A62282"/>
    <w:rsid w:val="00A65067"/>
    <w:rsid w:val="00A6519C"/>
    <w:rsid w:val="00A667D4"/>
    <w:rsid w:val="00A7163C"/>
    <w:rsid w:val="00A71CA1"/>
    <w:rsid w:val="00A766DA"/>
    <w:rsid w:val="00A76B69"/>
    <w:rsid w:val="00A76BA2"/>
    <w:rsid w:val="00A76FBA"/>
    <w:rsid w:val="00A771AA"/>
    <w:rsid w:val="00A854EC"/>
    <w:rsid w:val="00A91DA3"/>
    <w:rsid w:val="00A92433"/>
    <w:rsid w:val="00A95943"/>
    <w:rsid w:val="00A96213"/>
    <w:rsid w:val="00AA01C9"/>
    <w:rsid w:val="00AA072E"/>
    <w:rsid w:val="00AA4A16"/>
    <w:rsid w:val="00AA5B5D"/>
    <w:rsid w:val="00AA5E2B"/>
    <w:rsid w:val="00AA62E3"/>
    <w:rsid w:val="00AB5139"/>
    <w:rsid w:val="00AB630A"/>
    <w:rsid w:val="00AC1D8E"/>
    <w:rsid w:val="00AC36DD"/>
    <w:rsid w:val="00AE0B82"/>
    <w:rsid w:val="00AE0BB8"/>
    <w:rsid w:val="00AE0CA2"/>
    <w:rsid w:val="00AE454A"/>
    <w:rsid w:val="00AE4BD6"/>
    <w:rsid w:val="00AE66C0"/>
    <w:rsid w:val="00AE7C6F"/>
    <w:rsid w:val="00AF0C03"/>
    <w:rsid w:val="00AF13DD"/>
    <w:rsid w:val="00AF2E0E"/>
    <w:rsid w:val="00AF4225"/>
    <w:rsid w:val="00AF4A2B"/>
    <w:rsid w:val="00B02430"/>
    <w:rsid w:val="00B03883"/>
    <w:rsid w:val="00B040B2"/>
    <w:rsid w:val="00B05AD1"/>
    <w:rsid w:val="00B17EF1"/>
    <w:rsid w:val="00B22ACC"/>
    <w:rsid w:val="00B233F4"/>
    <w:rsid w:val="00B23962"/>
    <w:rsid w:val="00B2632E"/>
    <w:rsid w:val="00B327F5"/>
    <w:rsid w:val="00B3384C"/>
    <w:rsid w:val="00B3394B"/>
    <w:rsid w:val="00B33CA0"/>
    <w:rsid w:val="00B3413A"/>
    <w:rsid w:val="00B352D0"/>
    <w:rsid w:val="00B359D8"/>
    <w:rsid w:val="00B366D8"/>
    <w:rsid w:val="00B37999"/>
    <w:rsid w:val="00B37C7F"/>
    <w:rsid w:val="00B41623"/>
    <w:rsid w:val="00B43BEE"/>
    <w:rsid w:val="00B442C5"/>
    <w:rsid w:val="00B444E9"/>
    <w:rsid w:val="00B44DF5"/>
    <w:rsid w:val="00B55584"/>
    <w:rsid w:val="00B56EE4"/>
    <w:rsid w:val="00B61DC4"/>
    <w:rsid w:val="00B6501C"/>
    <w:rsid w:val="00B67AB5"/>
    <w:rsid w:val="00B70591"/>
    <w:rsid w:val="00B7070E"/>
    <w:rsid w:val="00B71D2F"/>
    <w:rsid w:val="00B80D1A"/>
    <w:rsid w:val="00B831A2"/>
    <w:rsid w:val="00B831ED"/>
    <w:rsid w:val="00B87FA3"/>
    <w:rsid w:val="00B92A57"/>
    <w:rsid w:val="00B93B37"/>
    <w:rsid w:val="00B94216"/>
    <w:rsid w:val="00B95FB8"/>
    <w:rsid w:val="00BA1D11"/>
    <w:rsid w:val="00BA29A4"/>
    <w:rsid w:val="00BB0049"/>
    <w:rsid w:val="00BB1537"/>
    <w:rsid w:val="00BB190D"/>
    <w:rsid w:val="00BB70DC"/>
    <w:rsid w:val="00BC0CE4"/>
    <w:rsid w:val="00BC3D61"/>
    <w:rsid w:val="00BC44EF"/>
    <w:rsid w:val="00BD0C30"/>
    <w:rsid w:val="00BD181E"/>
    <w:rsid w:val="00BD4976"/>
    <w:rsid w:val="00BE229C"/>
    <w:rsid w:val="00BE2A95"/>
    <w:rsid w:val="00BE2B96"/>
    <w:rsid w:val="00BE2E7C"/>
    <w:rsid w:val="00BF2F48"/>
    <w:rsid w:val="00BF582A"/>
    <w:rsid w:val="00BF70F8"/>
    <w:rsid w:val="00C00430"/>
    <w:rsid w:val="00C02CCC"/>
    <w:rsid w:val="00C03421"/>
    <w:rsid w:val="00C03A95"/>
    <w:rsid w:val="00C05C6B"/>
    <w:rsid w:val="00C1153A"/>
    <w:rsid w:val="00C15ABF"/>
    <w:rsid w:val="00C239E0"/>
    <w:rsid w:val="00C275BD"/>
    <w:rsid w:val="00C30D65"/>
    <w:rsid w:val="00C30F13"/>
    <w:rsid w:val="00C322BF"/>
    <w:rsid w:val="00C32541"/>
    <w:rsid w:val="00C40A8D"/>
    <w:rsid w:val="00C43B95"/>
    <w:rsid w:val="00C46F18"/>
    <w:rsid w:val="00C60482"/>
    <w:rsid w:val="00C6085C"/>
    <w:rsid w:val="00C62213"/>
    <w:rsid w:val="00C64A0C"/>
    <w:rsid w:val="00C64BE6"/>
    <w:rsid w:val="00C65671"/>
    <w:rsid w:val="00C66098"/>
    <w:rsid w:val="00C66E9C"/>
    <w:rsid w:val="00C7133A"/>
    <w:rsid w:val="00C713F8"/>
    <w:rsid w:val="00C74210"/>
    <w:rsid w:val="00C754BC"/>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1DD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180"/>
    <w:rsid w:val="00CF42BB"/>
    <w:rsid w:val="00CF5096"/>
    <w:rsid w:val="00CF6751"/>
    <w:rsid w:val="00D01CC8"/>
    <w:rsid w:val="00D0748C"/>
    <w:rsid w:val="00D13A38"/>
    <w:rsid w:val="00D1782E"/>
    <w:rsid w:val="00D238FD"/>
    <w:rsid w:val="00D2474D"/>
    <w:rsid w:val="00D260B8"/>
    <w:rsid w:val="00D26C30"/>
    <w:rsid w:val="00D31B48"/>
    <w:rsid w:val="00D31EF1"/>
    <w:rsid w:val="00D33586"/>
    <w:rsid w:val="00D40319"/>
    <w:rsid w:val="00D403B9"/>
    <w:rsid w:val="00D40F79"/>
    <w:rsid w:val="00D41D01"/>
    <w:rsid w:val="00D4289E"/>
    <w:rsid w:val="00D46154"/>
    <w:rsid w:val="00D46378"/>
    <w:rsid w:val="00D46997"/>
    <w:rsid w:val="00D50E5F"/>
    <w:rsid w:val="00D51C39"/>
    <w:rsid w:val="00D521F7"/>
    <w:rsid w:val="00D5518D"/>
    <w:rsid w:val="00D55DB5"/>
    <w:rsid w:val="00D55F00"/>
    <w:rsid w:val="00D5646D"/>
    <w:rsid w:val="00D576BD"/>
    <w:rsid w:val="00D60EF7"/>
    <w:rsid w:val="00D65286"/>
    <w:rsid w:val="00D75710"/>
    <w:rsid w:val="00D76D8D"/>
    <w:rsid w:val="00D7768F"/>
    <w:rsid w:val="00D807D6"/>
    <w:rsid w:val="00D827D8"/>
    <w:rsid w:val="00D85051"/>
    <w:rsid w:val="00D86EC1"/>
    <w:rsid w:val="00D87259"/>
    <w:rsid w:val="00D90245"/>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7F83"/>
    <w:rsid w:val="00DC059A"/>
    <w:rsid w:val="00DC0A5B"/>
    <w:rsid w:val="00DC1122"/>
    <w:rsid w:val="00DC21F1"/>
    <w:rsid w:val="00DC2226"/>
    <w:rsid w:val="00DC3150"/>
    <w:rsid w:val="00DC3467"/>
    <w:rsid w:val="00DC481F"/>
    <w:rsid w:val="00DC4CF7"/>
    <w:rsid w:val="00DD2752"/>
    <w:rsid w:val="00DD3394"/>
    <w:rsid w:val="00DD5038"/>
    <w:rsid w:val="00DD706E"/>
    <w:rsid w:val="00DE037B"/>
    <w:rsid w:val="00DE1ABF"/>
    <w:rsid w:val="00DE2607"/>
    <w:rsid w:val="00DE6DF6"/>
    <w:rsid w:val="00DF1DA2"/>
    <w:rsid w:val="00DF598B"/>
    <w:rsid w:val="00DF6EE1"/>
    <w:rsid w:val="00E00900"/>
    <w:rsid w:val="00E01AA8"/>
    <w:rsid w:val="00E02DE1"/>
    <w:rsid w:val="00E06226"/>
    <w:rsid w:val="00E06A96"/>
    <w:rsid w:val="00E06E44"/>
    <w:rsid w:val="00E06F50"/>
    <w:rsid w:val="00E113AC"/>
    <w:rsid w:val="00E11955"/>
    <w:rsid w:val="00E11AB3"/>
    <w:rsid w:val="00E11FCF"/>
    <w:rsid w:val="00E13AA1"/>
    <w:rsid w:val="00E14119"/>
    <w:rsid w:val="00E177CE"/>
    <w:rsid w:val="00E23170"/>
    <w:rsid w:val="00E30673"/>
    <w:rsid w:val="00E31E56"/>
    <w:rsid w:val="00E3224F"/>
    <w:rsid w:val="00E34629"/>
    <w:rsid w:val="00E41D4C"/>
    <w:rsid w:val="00E42218"/>
    <w:rsid w:val="00E447DE"/>
    <w:rsid w:val="00E44B91"/>
    <w:rsid w:val="00E450EF"/>
    <w:rsid w:val="00E504E5"/>
    <w:rsid w:val="00E555A8"/>
    <w:rsid w:val="00E640DD"/>
    <w:rsid w:val="00E6453F"/>
    <w:rsid w:val="00E744F5"/>
    <w:rsid w:val="00E75F55"/>
    <w:rsid w:val="00E763B8"/>
    <w:rsid w:val="00E875F5"/>
    <w:rsid w:val="00E87F89"/>
    <w:rsid w:val="00E90A6A"/>
    <w:rsid w:val="00E91751"/>
    <w:rsid w:val="00E91BBB"/>
    <w:rsid w:val="00E93146"/>
    <w:rsid w:val="00EA4093"/>
    <w:rsid w:val="00EA55F4"/>
    <w:rsid w:val="00EA6FAD"/>
    <w:rsid w:val="00EB0DBD"/>
    <w:rsid w:val="00EC035E"/>
    <w:rsid w:val="00EC1325"/>
    <w:rsid w:val="00EC2393"/>
    <w:rsid w:val="00EC50A5"/>
    <w:rsid w:val="00EC6B26"/>
    <w:rsid w:val="00ED1C47"/>
    <w:rsid w:val="00ED3D49"/>
    <w:rsid w:val="00ED3E9C"/>
    <w:rsid w:val="00EE1384"/>
    <w:rsid w:val="00EE3221"/>
    <w:rsid w:val="00EE409D"/>
    <w:rsid w:val="00EE7FC5"/>
    <w:rsid w:val="00EF42B7"/>
    <w:rsid w:val="00F0364E"/>
    <w:rsid w:val="00F04501"/>
    <w:rsid w:val="00F07243"/>
    <w:rsid w:val="00F07799"/>
    <w:rsid w:val="00F078C5"/>
    <w:rsid w:val="00F1011C"/>
    <w:rsid w:val="00F14061"/>
    <w:rsid w:val="00F14475"/>
    <w:rsid w:val="00F209F6"/>
    <w:rsid w:val="00F213F8"/>
    <w:rsid w:val="00F2230A"/>
    <w:rsid w:val="00F23EFD"/>
    <w:rsid w:val="00F303F9"/>
    <w:rsid w:val="00F31940"/>
    <w:rsid w:val="00F36A84"/>
    <w:rsid w:val="00F37493"/>
    <w:rsid w:val="00F4129A"/>
    <w:rsid w:val="00F4415B"/>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B0DFF"/>
    <w:rsid w:val="00FB1B0E"/>
    <w:rsid w:val="00FB6AFB"/>
    <w:rsid w:val="00FC0365"/>
    <w:rsid w:val="00FC0DE7"/>
    <w:rsid w:val="00FC31C0"/>
    <w:rsid w:val="00FC6E09"/>
    <w:rsid w:val="00FC764F"/>
    <w:rsid w:val="00FD7BD2"/>
    <w:rsid w:val="00FE0A36"/>
    <w:rsid w:val="00FE0BC0"/>
    <w:rsid w:val="00FE64DC"/>
    <w:rsid w:val="00FF0C93"/>
    <w:rsid w:val="00FF2774"/>
    <w:rsid w:val="00FF5965"/>
    <w:rsid w:val="00FF642D"/>
    <w:rsid w:val="00FF7E17"/>
    <w:rsid w:val="02112638"/>
    <w:rsid w:val="02255F12"/>
    <w:rsid w:val="023A78F2"/>
    <w:rsid w:val="026F4B92"/>
    <w:rsid w:val="028570BC"/>
    <w:rsid w:val="02A63CBD"/>
    <w:rsid w:val="02D07271"/>
    <w:rsid w:val="02F2146B"/>
    <w:rsid w:val="030E0F2F"/>
    <w:rsid w:val="032D4C3C"/>
    <w:rsid w:val="03341E12"/>
    <w:rsid w:val="033610BB"/>
    <w:rsid w:val="03384C6C"/>
    <w:rsid w:val="039F4DE7"/>
    <w:rsid w:val="03B24710"/>
    <w:rsid w:val="03C02245"/>
    <w:rsid w:val="0413506C"/>
    <w:rsid w:val="046C128F"/>
    <w:rsid w:val="04E1336F"/>
    <w:rsid w:val="054B031D"/>
    <w:rsid w:val="06141D0B"/>
    <w:rsid w:val="0634736E"/>
    <w:rsid w:val="064E3F99"/>
    <w:rsid w:val="06A620AF"/>
    <w:rsid w:val="06AB3D87"/>
    <w:rsid w:val="06E23D5B"/>
    <w:rsid w:val="070B1E0C"/>
    <w:rsid w:val="072068CA"/>
    <w:rsid w:val="078B5129"/>
    <w:rsid w:val="07B950EB"/>
    <w:rsid w:val="08AF7A71"/>
    <w:rsid w:val="08B65BA0"/>
    <w:rsid w:val="08B97BE0"/>
    <w:rsid w:val="08D76972"/>
    <w:rsid w:val="09BF49D6"/>
    <w:rsid w:val="09CD4DA7"/>
    <w:rsid w:val="09CE1322"/>
    <w:rsid w:val="09FE769D"/>
    <w:rsid w:val="0A022C9F"/>
    <w:rsid w:val="0A0A7A42"/>
    <w:rsid w:val="0A3D437F"/>
    <w:rsid w:val="0A602BAE"/>
    <w:rsid w:val="0A7E0C16"/>
    <w:rsid w:val="0AED566F"/>
    <w:rsid w:val="0AF85C25"/>
    <w:rsid w:val="0B834DB3"/>
    <w:rsid w:val="0B880DDC"/>
    <w:rsid w:val="0BDD4FCE"/>
    <w:rsid w:val="0BDF2FE4"/>
    <w:rsid w:val="0C45692E"/>
    <w:rsid w:val="0C900964"/>
    <w:rsid w:val="0CA822D1"/>
    <w:rsid w:val="0D6512C3"/>
    <w:rsid w:val="0D7525D2"/>
    <w:rsid w:val="0DD16522"/>
    <w:rsid w:val="0DD57EF9"/>
    <w:rsid w:val="0E1B1D1D"/>
    <w:rsid w:val="0E1B606F"/>
    <w:rsid w:val="0E2C2899"/>
    <w:rsid w:val="0E4F5FC6"/>
    <w:rsid w:val="0E667032"/>
    <w:rsid w:val="0EB900B5"/>
    <w:rsid w:val="0EB9789A"/>
    <w:rsid w:val="0FA24AB1"/>
    <w:rsid w:val="0FE26F84"/>
    <w:rsid w:val="0FF02514"/>
    <w:rsid w:val="1004611A"/>
    <w:rsid w:val="104867F4"/>
    <w:rsid w:val="10936B2D"/>
    <w:rsid w:val="110F4BC4"/>
    <w:rsid w:val="111F02A0"/>
    <w:rsid w:val="11543B93"/>
    <w:rsid w:val="1232753E"/>
    <w:rsid w:val="12357B2B"/>
    <w:rsid w:val="123E32E4"/>
    <w:rsid w:val="12463E27"/>
    <w:rsid w:val="12915C01"/>
    <w:rsid w:val="129B3C7A"/>
    <w:rsid w:val="12EE6443"/>
    <w:rsid w:val="13044344"/>
    <w:rsid w:val="146224AD"/>
    <w:rsid w:val="14B6549A"/>
    <w:rsid w:val="14EC4504"/>
    <w:rsid w:val="153F0788"/>
    <w:rsid w:val="15627A74"/>
    <w:rsid w:val="157573A2"/>
    <w:rsid w:val="157F2BC8"/>
    <w:rsid w:val="15A62D52"/>
    <w:rsid w:val="16106C9D"/>
    <w:rsid w:val="16166A77"/>
    <w:rsid w:val="16CB4F76"/>
    <w:rsid w:val="16FE4200"/>
    <w:rsid w:val="17023C74"/>
    <w:rsid w:val="17EB2A5E"/>
    <w:rsid w:val="1825589F"/>
    <w:rsid w:val="18C120B6"/>
    <w:rsid w:val="18DA03AB"/>
    <w:rsid w:val="18E847A9"/>
    <w:rsid w:val="19114B67"/>
    <w:rsid w:val="1920600E"/>
    <w:rsid w:val="199216F6"/>
    <w:rsid w:val="1A180929"/>
    <w:rsid w:val="1A667435"/>
    <w:rsid w:val="1ADA11A2"/>
    <w:rsid w:val="1B1827F6"/>
    <w:rsid w:val="1B30243C"/>
    <w:rsid w:val="1B3542D9"/>
    <w:rsid w:val="1B8A06B8"/>
    <w:rsid w:val="1B9D77F3"/>
    <w:rsid w:val="1BA46063"/>
    <w:rsid w:val="1BB263F3"/>
    <w:rsid w:val="1C6C502B"/>
    <w:rsid w:val="1D443B2A"/>
    <w:rsid w:val="1D7E5C13"/>
    <w:rsid w:val="1DF444B5"/>
    <w:rsid w:val="1E090932"/>
    <w:rsid w:val="1E1B5654"/>
    <w:rsid w:val="1E412EC2"/>
    <w:rsid w:val="1E6676E7"/>
    <w:rsid w:val="1E78086C"/>
    <w:rsid w:val="1EA41E52"/>
    <w:rsid w:val="1EDF1591"/>
    <w:rsid w:val="1F4E55BD"/>
    <w:rsid w:val="1F6D0902"/>
    <w:rsid w:val="1FA90DBC"/>
    <w:rsid w:val="1FCB2E0B"/>
    <w:rsid w:val="200C1A68"/>
    <w:rsid w:val="202F3B4A"/>
    <w:rsid w:val="20FB7FE8"/>
    <w:rsid w:val="211A239C"/>
    <w:rsid w:val="214D27F0"/>
    <w:rsid w:val="21806FD7"/>
    <w:rsid w:val="21AA46E3"/>
    <w:rsid w:val="21BC61EE"/>
    <w:rsid w:val="22327CF5"/>
    <w:rsid w:val="224D3ABE"/>
    <w:rsid w:val="22631F73"/>
    <w:rsid w:val="22796783"/>
    <w:rsid w:val="22D42817"/>
    <w:rsid w:val="22E04007"/>
    <w:rsid w:val="22E75BBE"/>
    <w:rsid w:val="22E92B48"/>
    <w:rsid w:val="2316791D"/>
    <w:rsid w:val="23491228"/>
    <w:rsid w:val="23730FED"/>
    <w:rsid w:val="23D6191B"/>
    <w:rsid w:val="242C2E65"/>
    <w:rsid w:val="246028B5"/>
    <w:rsid w:val="249B3FDD"/>
    <w:rsid w:val="24BE6C71"/>
    <w:rsid w:val="2584638E"/>
    <w:rsid w:val="25FE4A36"/>
    <w:rsid w:val="2667271B"/>
    <w:rsid w:val="2669775E"/>
    <w:rsid w:val="26997A78"/>
    <w:rsid w:val="27126431"/>
    <w:rsid w:val="2765530E"/>
    <w:rsid w:val="27C55906"/>
    <w:rsid w:val="27D37FA0"/>
    <w:rsid w:val="280413B2"/>
    <w:rsid w:val="28263407"/>
    <w:rsid w:val="28816B4D"/>
    <w:rsid w:val="28D17380"/>
    <w:rsid w:val="28F26612"/>
    <w:rsid w:val="29966680"/>
    <w:rsid w:val="29D26FC3"/>
    <w:rsid w:val="2A183DA3"/>
    <w:rsid w:val="2A5C5121"/>
    <w:rsid w:val="2A6B428D"/>
    <w:rsid w:val="2A756153"/>
    <w:rsid w:val="2AD85E81"/>
    <w:rsid w:val="2B146C21"/>
    <w:rsid w:val="2B6447CB"/>
    <w:rsid w:val="2BA0233A"/>
    <w:rsid w:val="2BE9230D"/>
    <w:rsid w:val="2C034F23"/>
    <w:rsid w:val="2C1E64A6"/>
    <w:rsid w:val="2C66481F"/>
    <w:rsid w:val="2C6A2C7C"/>
    <w:rsid w:val="2C6C66D2"/>
    <w:rsid w:val="2C986FC4"/>
    <w:rsid w:val="2D14205D"/>
    <w:rsid w:val="2D324F98"/>
    <w:rsid w:val="2D6C6360"/>
    <w:rsid w:val="2D81545C"/>
    <w:rsid w:val="2D8F19F0"/>
    <w:rsid w:val="2E322CF8"/>
    <w:rsid w:val="2E5E144C"/>
    <w:rsid w:val="2E6D5F6E"/>
    <w:rsid w:val="2EE97167"/>
    <w:rsid w:val="2F6279EB"/>
    <w:rsid w:val="2F6945A6"/>
    <w:rsid w:val="2F6F2FC5"/>
    <w:rsid w:val="2FCB1710"/>
    <w:rsid w:val="2FEA5D2B"/>
    <w:rsid w:val="2FFA58B5"/>
    <w:rsid w:val="2FFD0C69"/>
    <w:rsid w:val="306E45F0"/>
    <w:rsid w:val="30A9734C"/>
    <w:rsid w:val="31105E9C"/>
    <w:rsid w:val="31606881"/>
    <w:rsid w:val="31BA6503"/>
    <w:rsid w:val="31CF4868"/>
    <w:rsid w:val="31DA1150"/>
    <w:rsid w:val="3282507D"/>
    <w:rsid w:val="32AC4B58"/>
    <w:rsid w:val="32B442D8"/>
    <w:rsid w:val="32F31D10"/>
    <w:rsid w:val="33BA1CDA"/>
    <w:rsid w:val="33C90C38"/>
    <w:rsid w:val="341800BB"/>
    <w:rsid w:val="341A60F9"/>
    <w:rsid w:val="3457303D"/>
    <w:rsid w:val="346A19FF"/>
    <w:rsid w:val="34776684"/>
    <w:rsid w:val="34862C5A"/>
    <w:rsid w:val="34884B40"/>
    <w:rsid w:val="34AD42F2"/>
    <w:rsid w:val="34B6049A"/>
    <w:rsid w:val="34C409E9"/>
    <w:rsid w:val="34DD05B3"/>
    <w:rsid w:val="34FB63EB"/>
    <w:rsid w:val="35A95BA5"/>
    <w:rsid w:val="35C11FD8"/>
    <w:rsid w:val="35FD2A7C"/>
    <w:rsid w:val="36212C76"/>
    <w:rsid w:val="362317E5"/>
    <w:rsid w:val="362923C3"/>
    <w:rsid w:val="364D741D"/>
    <w:rsid w:val="36646FC1"/>
    <w:rsid w:val="36826808"/>
    <w:rsid w:val="36AC1227"/>
    <w:rsid w:val="36DD47F9"/>
    <w:rsid w:val="36F07328"/>
    <w:rsid w:val="38735D7C"/>
    <w:rsid w:val="38A76441"/>
    <w:rsid w:val="38CB636C"/>
    <w:rsid w:val="38EF5CB7"/>
    <w:rsid w:val="39255DD3"/>
    <w:rsid w:val="39714989"/>
    <w:rsid w:val="398E5A89"/>
    <w:rsid w:val="39B41166"/>
    <w:rsid w:val="39F66419"/>
    <w:rsid w:val="3A285E3D"/>
    <w:rsid w:val="3A7C5BE9"/>
    <w:rsid w:val="3AA57A86"/>
    <w:rsid w:val="3B0840B4"/>
    <w:rsid w:val="3B0C535F"/>
    <w:rsid w:val="3B19181D"/>
    <w:rsid w:val="3BF61CCE"/>
    <w:rsid w:val="3C3C06C1"/>
    <w:rsid w:val="3C3F6231"/>
    <w:rsid w:val="3C455D22"/>
    <w:rsid w:val="3C98587E"/>
    <w:rsid w:val="3CFD69AD"/>
    <w:rsid w:val="3D592D56"/>
    <w:rsid w:val="3D836840"/>
    <w:rsid w:val="3D8B26D3"/>
    <w:rsid w:val="3D97724C"/>
    <w:rsid w:val="3DAD1B43"/>
    <w:rsid w:val="3DD47A32"/>
    <w:rsid w:val="3DF6651B"/>
    <w:rsid w:val="3DFA6BBC"/>
    <w:rsid w:val="3E283B9A"/>
    <w:rsid w:val="3E955E6A"/>
    <w:rsid w:val="3EED1544"/>
    <w:rsid w:val="3F213A04"/>
    <w:rsid w:val="3FB04D3A"/>
    <w:rsid w:val="3FEA7385"/>
    <w:rsid w:val="401C7F34"/>
    <w:rsid w:val="40771DD6"/>
    <w:rsid w:val="40831366"/>
    <w:rsid w:val="40AD3C52"/>
    <w:rsid w:val="40BA3FEA"/>
    <w:rsid w:val="40D42FF9"/>
    <w:rsid w:val="40F57CBC"/>
    <w:rsid w:val="410152AF"/>
    <w:rsid w:val="41956309"/>
    <w:rsid w:val="423068B7"/>
    <w:rsid w:val="426A1D99"/>
    <w:rsid w:val="42C44841"/>
    <w:rsid w:val="42D04517"/>
    <w:rsid w:val="42EE5E77"/>
    <w:rsid w:val="42F06AF2"/>
    <w:rsid w:val="434925F3"/>
    <w:rsid w:val="43D76E5C"/>
    <w:rsid w:val="443A713A"/>
    <w:rsid w:val="44D13D54"/>
    <w:rsid w:val="44DD1D02"/>
    <w:rsid w:val="45276E44"/>
    <w:rsid w:val="4550347C"/>
    <w:rsid w:val="45952CF5"/>
    <w:rsid w:val="45C27765"/>
    <w:rsid w:val="462A1FD4"/>
    <w:rsid w:val="463C233D"/>
    <w:rsid w:val="46464F5C"/>
    <w:rsid w:val="46691F6C"/>
    <w:rsid w:val="46840388"/>
    <w:rsid w:val="468A5F99"/>
    <w:rsid w:val="46BF0B05"/>
    <w:rsid w:val="46D07724"/>
    <w:rsid w:val="46DB78EB"/>
    <w:rsid w:val="46F43E7E"/>
    <w:rsid w:val="4742035A"/>
    <w:rsid w:val="47424606"/>
    <w:rsid w:val="4776479F"/>
    <w:rsid w:val="47BB6F03"/>
    <w:rsid w:val="47D21CB3"/>
    <w:rsid w:val="485D1CCB"/>
    <w:rsid w:val="486D258D"/>
    <w:rsid w:val="48D2094A"/>
    <w:rsid w:val="498B259D"/>
    <w:rsid w:val="4993723C"/>
    <w:rsid w:val="49CA3A28"/>
    <w:rsid w:val="4A224299"/>
    <w:rsid w:val="4ABC33CF"/>
    <w:rsid w:val="4AC03758"/>
    <w:rsid w:val="4AC1543C"/>
    <w:rsid w:val="4ACC1B4F"/>
    <w:rsid w:val="4AEB47D1"/>
    <w:rsid w:val="4B10509F"/>
    <w:rsid w:val="4B785995"/>
    <w:rsid w:val="4BB3364E"/>
    <w:rsid w:val="4BDA194F"/>
    <w:rsid w:val="4BFC3286"/>
    <w:rsid w:val="4C0D15E0"/>
    <w:rsid w:val="4C17017A"/>
    <w:rsid w:val="4C243241"/>
    <w:rsid w:val="4CEF5093"/>
    <w:rsid w:val="4CF43C9B"/>
    <w:rsid w:val="4D1B1650"/>
    <w:rsid w:val="4D285144"/>
    <w:rsid w:val="4D5654C8"/>
    <w:rsid w:val="4DD673B3"/>
    <w:rsid w:val="4DE411A2"/>
    <w:rsid w:val="4DFC428B"/>
    <w:rsid w:val="4E942FC2"/>
    <w:rsid w:val="4EA17087"/>
    <w:rsid w:val="4EA7132F"/>
    <w:rsid w:val="4ECF6142"/>
    <w:rsid w:val="4F8768BF"/>
    <w:rsid w:val="5012461E"/>
    <w:rsid w:val="501627E7"/>
    <w:rsid w:val="50212445"/>
    <w:rsid w:val="506313BF"/>
    <w:rsid w:val="50743CE2"/>
    <w:rsid w:val="507A3064"/>
    <w:rsid w:val="5086703B"/>
    <w:rsid w:val="50E82008"/>
    <w:rsid w:val="51345934"/>
    <w:rsid w:val="51464B82"/>
    <w:rsid w:val="51B90F63"/>
    <w:rsid w:val="52197B59"/>
    <w:rsid w:val="521E3C5C"/>
    <w:rsid w:val="521F5A99"/>
    <w:rsid w:val="52E00B37"/>
    <w:rsid w:val="53607DFF"/>
    <w:rsid w:val="53F60BEB"/>
    <w:rsid w:val="544422F7"/>
    <w:rsid w:val="545F58C5"/>
    <w:rsid w:val="54EB50DD"/>
    <w:rsid w:val="54F044E3"/>
    <w:rsid w:val="55685BDF"/>
    <w:rsid w:val="55CB67A9"/>
    <w:rsid w:val="55DB4B75"/>
    <w:rsid w:val="55FE6910"/>
    <w:rsid w:val="565E1940"/>
    <w:rsid w:val="566435FB"/>
    <w:rsid w:val="56901608"/>
    <w:rsid w:val="57084CD4"/>
    <w:rsid w:val="570C7AF3"/>
    <w:rsid w:val="5712164D"/>
    <w:rsid w:val="57276933"/>
    <w:rsid w:val="573C7C43"/>
    <w:rsid w:val="57443052"/>
    <w:rsid w:val="579B15F5"/>
    <w:rsid w:val="57D3765D"/>
    <w:rsid w:val="582B6489"/>
    <w:rsid w:val="58692D88"/>
    <w:rsid w:val="586F591C"/>
    <w:rsid w:val="58B72C6C"/>
    <w:rsid w:val="58DE104D"/>
    <w:rsid w:val="597C2F89"/>
    <w:rsid w:val="59A55BDA"/>
    <w:rsid w:val="5A502E87"/>
    <w:rsid w:val="5A830638"/>
    <w:rsid w:val="5A935D0A"/>
    <w:rsid w:val="5B4A0D60"/>
    <w:rsid w:val="5BBE02A7"/>
    <w:rsid w:val="5C07230B"/>
    <w:rsid w:val="5C416DCA"/>
    <w:rsid w:val="5C767FAF"/>
    <w:rsid w:val="5CA53ADD"/>
    <w:rsid w:val="5CB8194A"/>
    <w:rsid w:val="5CBF7DC6"/>
    <w:rsid w:val="5CE5238F"/>
    <w:rsid w:val="5D474325"/>
    <w:rsid w:val="5D541AF7"/>
    <w:rsid w:val="5DA415ED"/>
    <w:rsid w:val="5DF7132D"/>
    <w:rsid w:val="5E6E7EB2"/>
    <w:rsid w:val="5E7A7584"/>
    <w:rsid w:val="5F341829"/>
    <w:rsid w:val="5F5D22B1"/>
    <w:rsid w:val="5F73535F"/>
    <w:rsid w:val="5F97438D"/>
    <w:rsid w:val="5FD14CC6"/>
    <w:rsid w:val="60317D6C"/>
    <w:rsid w:val="605E5CE5"/>
    <w:rsid w:val="60AD6D48"/>
    <w:rsid w:val="613E3325"/>
    <w:rsid w:val="61420FCB"/>
    <w:rsid w:val="614D1375"/>
    <w:rsid w:val="61D768A0"/>
    <w:rsid w:val="61DA044E"/>
    <w:rsid w:val="61F12975"/>
    <w:rsid w:val="62171020"/>
    <w:rsid w:val="623A48E5"/>
    <w:rsid w:val="62865E6F"/>
    <w:rsid w:val="62A54016"/>
    <w:rsid w:val="631F0803"/>
    <w:rsid w:val="635F6600"/>
    <w:rsid w:val="63C5546F"/>
    <w:rsid w:val="64241896"/>
    <w:rsid w:val="64451FBA"/>
    <w:rsid w:val="64BE6995"/>
    <w:rsid w:val="650D35D0"/>
    <w:rsid w:val="65216A9B"/>
    <w:rsid w:val="65854506"/>
    <w:rsid w:val="661E52D7"/>
    <w:rsid w:val="67206AF9"/>
    <w:rsid w:val="672B3795"/>
    <w:rsid w:val="6775536A"/>
    <w:rsid w:val="679861D3"/>
    <w:rsid w:val="67D913E0"/>
    <w:rsid w:val="67EC5873"/>
    <w:rsid w:val="681B37D6"/>
    <w:rsid w:val="688A0353"/>
    <w:rsid w:val="68B10E53"/>
    <w:rsid w:val="695253E1"/>
    <w:rsid w:val="6A065A01"/>
    <w:rsid w:val="6A3A2145"/>
    <w:rsid w:val="6A6537C9"/>
    <w:rsid w:val="6A7A1503"/>
    <w:rsid w:val="6AA42622"/>
    <w:rsid w:val="6AF47FDE"/>
    <w:rsid w:val="6B3C402C"/>
    <w:rsid w:val="6BB132F2"/>
    <w:rsid w:val="6BBD592E"/>
    <w:rsid w:val="6BDE3E09"/>
    <w:rsid w:val="6BE7047C"/>
    <w:rsid w:val="6C206F14"/>
    <w:rsid w:val="6C327322"/>
    <w:rsid w:val="6C563F36"/>
    <w:rsid w:val="6C9F2CAD"/>
    <w:rsid w:val="6CDD17FE"/>
    <w:rsid w:val="6D071AED"/>
    <w:rsid w:val="6D164B52"/>
    <w:rsid w:val="6DD576B7"/>
    <w:rsid w:val="6E0A1AAC"/>
    <w:rsid w:val="6E56179B"/>
    <w:rsid w:val="6EA02FC2"/>
    <w:rsid w:val="6F5E7FD7"/>
    <w:rsid w:val="6F6725A1"/>
    <w:rsid w:val="6F9450C5"/>
    <w:rsid w:val="6FAB4937"/>
    <w:rsid w:val="700162C8"/>
    <w:rsid w:val="70191388"/>
    <w:rsid w:val="703B5CA2"/>
    <w:rsid w:val="70457A33"/>
    <w:rsid w:val="7088578C"/>
    <w:rsid w:val="715C33F4"/>
    <w:rsid w:val="715F728C"/>
    <w:rsid w:val="717F2C74"/>
    <w:rsid w:val="71C92AC3"/>
    <w:rsid w:val="71D14AE7"/>
    <w:rsid w:val="71E27C1C"/>
    <w:rsid w:val="71F506CC"/>
    <w:rsid w:val="71F75C44"/>
    <w:rsid w:val="72216668"/>
    <w:rsid w:val="725E2B21"/>
    <w:rsid w:val="726567F7"/>
    <w:rsid w:val="728E55D2"/>
    <w:rsid w:val="72F87E63"/>
    <w:rsid w:val="72FF3DF4"/>
    <w:rsid w:val="731D7968"/>
    <w:rsid w:val="738E0553"/>
    <w:rsid w:val="73910A69"/>
    <w:rsid w:val="73A13844"/>
    <w:rsid w:val="73B55560"/>
    <w:rsid w:val="741C0FD4"/>
    <w:rsid w:val="74654AFF"/>
    <w:rsid w:val="74BF3CFA"/>
    <w:rsid w:val="74C402A8"/>
    <w:rsid w:val="74D220A1"/>
    <w:rsid w:val="74E107ED"/>
    <w:rsid w:val="751057B6"/>
    <w:rsid w:val="7549646E"/>
    <w:rsid w:val="7552608B"/>
    <w:rsid w:val="755A5C74"/>
    <w:rsid w:val="75621C36"/>
    <w:rsid w:val="75792FC4"/>
    <w:rsid w:val="75C15637"/>
    <w:rsid w:val="75EE004F"/>
    <w:rsid w:val="76016D48"/>
    <w:rsid w:val="76152F2D"/>
    <w:rsid w:val="76625CE4"/>
    <w:rsid w:val="767F5DE5"/>
    <w:rsid w:val="76D8451E"/>
    <w:rsid w:val="76EA1C20"/>
    <w:rsid w:val="77FF5793"/>
    <w:rsid w:val="781F6A08"/>
    <w:rsid w:val="782F601C"/>
    <w:rsid w:val="784F6812"/>
    <w:rsid w:val="78594DE2"/>
    <w:rsid w:val="78F03C5A"/>
    <w:rsid w:val="792075BA"/>
    <w:rsid w:val="79976069"/>
    <w:rsid w:val="79AD7BD3"/>
    <w:rsid w:val="7A0E6B03"/>
    <w:rsid w:val="7A513849"/>
    <w:rsid w:val="7A74428D"/>
    <w:rsid w:val="7AD60572"/>
    <w:rsid w:val="7B7D3FCC"/>
    <w:rsid w:val="7B842618"/>
    <w:rsid w:val="7BAE3CAE"/>
    <w:rsid w:val="7BF45FB4"/>
    <w:rsid w:val="7C021AEB"/>
    <w:rsid w:val="7C0E1B46"/>
    <w:rsid w:val="7C1E5310"/>
    <w:rsid w:val="7C41777A"/>
    <w:rsid w:val="7C660019"/>
    <w:rsid w:val="7C6F6D3B"/>
    <w:rsid w:val="7CD02229"/>
    <w:rsid w:val="7CE05AC5"/>
    <w:rsid w:val="7D0F25A3"/>
    <w:rsid w:val="7D875868"/>
    <w:rsid w:val="7D884A1D"/>
    <w:rsid w:val="7DE15301"/>
    <w:rsid w:val="7E087519"/>
    <w:rsid w:val="7E9B64F8"/>
    <w:rsid w:val="7EA06002"/>
    <w:rsid w:val="7EF0454C"/>
    <w:rsid w:val="7EF55CC7"/>
    <w:rsid w:val="7F2E3ABD"/>
    <w:rsid w:val="7F9352EC"/>
    <w:rsid w:val="7FCB4DEC"/>
    <w:rsid w:val="7FCD0C26"/>
    <w:rsid w:val="7FF003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37"/>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9"/>
    <w:qFormat/>
    <w:uiPriority w:val="0"/>
    <w:pPr>
      <w:jc w:val="left"/>
    </w:pPr>
  </w:style>
  <w:style w:type="paragraph" w:styleId="5">
    <w:name w:val="Body Text"/>
    <w:basedOn w:val="1"/>
    <w:qFormat/>
    <w:uiPriority w:val="0"/>
    <w:rPr>
      <w:b/>
      <w:bCs/>
      <w:sz w:val="28"/>
    </w:rPr>
  </w:style>
  <w:style w:type="paragraph" w:styleId="6">
    <w:name w:val="Body Text Indent"/>
    <w:basedOn w:val="1"/>
    <w:qFormat/>
    <w:uiPriority w:val="0"/>
    <w:pPr>
      <w:ind w:left="180"/>
    </w:pPr>
    <w:rPr>
      <w:sz w:val="28"/>
      <w:szCs w:val="20"/>
    </w:rPr>
  </w:style>
  <w:style w:type="paragraph" w:styleId="7">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8">
    <w:name w:val="Plain Text"/>
    <w:basedOn w:val="1"/>
    <w:qFormat/>
    <w:uiPriority w:val="0"/>
    <w:rPr>
      <w:rFonts w:ascii="宋体" w:hAnsi="Courier New"/>
      <w:szCs w:val="20"/>
    </w:rPr>
  </w:style>
  <w:style w:type="paragraph" w:styleId="9">
    <w:name w:val="Body Text Indent 2"/>
    <w:basedOn w:val="1"/>
    <w:qFormat/>
    <w:uiPriority w:val="0"/>
    <w:pPr>
      <w:ind w:left="570"/>
    </w:pPr>
    <w:rPr>
      <w:sz w:val="28"/>
      <w:szCs w:val="20"/>
    </w:r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qFormat/>
    <w:uiPriority w:val="0"/>
    <w:pPr>
      <w:ind w:firstLine="570"/>
    </w:pPr>
    <w:rPr>
      <w:sz w:val="28"/>
      <w:szCs w:val="20"/>
    </w:rPr>
  </w:style>
  <w:style w:type="paragraph" w:styleId="14">
    <w:name w:val="Body Text 2"/>
    <w:basedOn w:val="1"/>
    <w:qFormat/>
    <w:uiPriority w:val="0"/>
    <w:rPr>
      <w:sz w:val="28"/>
      <w:szCs w:val="20"/>
    </w:rPr>
  </w:style>
  <w:style w:type="paragraph" w:styleId="15">
    <w:name w:val="index 1"/>
    <w:basedOn w:val="1"/>
    <w:next w:val="1"/>
    <w:semiHidden/>
    <w:qFormat/>
    <w:uiPriority w:val="0"/>
    <w:rPr>
      <w:szCs w:val="20"/>
    </w:rPr>
  </w:style>
  <w:style w:type="paragraph" w:styleId="16">
    <w:name w:val="annotation subject"/>
    <w:basedOn w:val="4"/>
    <w:next w:val="4"/>
    <w:link w:val="40"/>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Hyperlink"/>
    <w:basedOn w:val="19"/>
    <w:qFormat/>
    <w:uiPriority w:val="0"/>
    <w:rPr>
      <w:color w:val="0000FF" w:themeColor="hyperlink"/>
      <w:u w:val="single"/>
      <w14:textFill>
        <w14:solidFill>
          <w14:schemeClr w14:val="hlink"/>
        </w14:solidFill>
      </w14:textFill>
    </w:rPr>
  </w:style>
  <w:style w:type="character" w:styleId="22">
    <w:name w:val="annotation reference"/>
    <w:basedOn w:val="19"/>
    <w:qFormat/>
    <w:uiPriority w:val="0"/>
    <w:rPr>
      <w:sz w:val="21"/>
      <w:szCs w:val="21"/>
    </w:rPr>
  </w:style>
  <w:style w:type="paragraph" w:customStyle="1" w:styleId="23">
    <w:name w:val="默认段落字体 Para Char"/>
    <w:basedOn w:val="1"/>
    <w:qFormat/>
    <w:uiPriority w:val="0"/>
    <w:pPr>
      <w:tabs>
        <w:tab w:val="left" w:pos="900"/>
      </w:tabs>
      <w:ind w:left="900" w:hanging="420"/>
    </w:pPr>
    <w:rPr>
      <w:sz w:val="28"/>
      <w:szCs w:val="20"/>
    </w:rPr>
  </w:style>
  <w:style w:type="character" w:customStyle="1" w:styleId="24">
    <w:name w:val="方案正文 Char"/>
    <w:basedOn w:val="19"/>
    <w:link w:val="25"/>
    <w:qFormat/>
    <w:uiPriority w:val="0"/>
    <w:rPr>
      <w:rFonts w:ascii="宋体" w:hAnsi="宋体" w:eastAsia="宋体"/>
      <w:kern w:val="2"/>
      <w:sz w:val="24"/>
      <w:lang w:val="en-US" w:eastAsia="zh-CN" w:bidi="ar-SA"/>
    </w:rPr>
  </w:style>
  <w:style w:type="paragraph" w:customStyle="1" w:styleId="25">
    <w:name w:val="方案正文"/>
    <w:link w:val="24"/>
    <w:qFormat/>
    <w:uiPriority w:val="0"/>
    <w:pPr>
      <w:spacing w:line="360" w:lineRule="auto"/>
      <w:jc w:val="both"/>
    </w:pPr>
    <w:rPr>
      <w:rFonts w:ascii="宋体" w:hAnsi="宋体" w:eastAsia="宋体" w:cs="Times New Roman"/>
      <w:kern w:val="2"/>
      <w:sz w:val="24"/>
      <w:lang w:val="en-US" w:eastAsia="zh-CN" w:bidi="ar-SA"/>
    </w:rPr>
  </w:style>
  <w:style w:type="paragraph" w:customStyle="1" w:styleId="26">
    <w:name w:val="Char Char Char Char"/>
    <w:basedOn w:val="1"/>
    <w:qFormat/>
    <w:uiPriority w:val="0"/>
    <w:rPr>
      <w:rFonts w:ascii="仿宋_GB2312" w:eastAsia="仿宋_GB2312"/>
      <w:b/>
      <w:sz w:val="32"/>
      <w:szCs w:val="32"/>
    </w:rPr>
  </w:style>
  <w:style w:type="paragraph" w:customStyle="1" w:styleId="27">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28">
    <w:name w:val="居中"/>
    <w:basedOn w:val="1"/>
    <w:qFormat/>
    <w:uiPriority w:val="0"/>
    <w:pPr>
      <w:spacing w:line="440" w:lineRule="exact"/>
      <w:jc w:val="center"/>
    </w:pPr>
    <w:rPr>
      <w:rFonts w:eastAsia="仿宋_GB2312" w:cs="宋体"/>
      <w:spacing w:val="6"/>
      <w:kern w:val="0"/>
      <w:szCs w:val="20"/>
    </w:rPr>
  </w:style>
  <w:style w:type="paragraph" w:customStyle="1" w:styleId="29">
    <w:name w:val="第三级"/>
    <w:basedOn w:val="3"/>
    <w:next w:val="1"/>
    <w:link w:val="30"/>
    <w:qFormat/>
    <w:uiPriority w:val="0"/>
    <w:pPr>
      <w:spacing w:before="0" w:after="0" w:line="440" w:lineRule="exact"/>
      <w:jc w:val="left"/>
    </w:pPr>
    <w:rPr>
      <w:rFonts w:eastAsia="仿宋_GB2312" w:cs="宋体"/>
      <w:b w:val="0"/>
      <w:bCs w:val="0"/>
      <w:spacing w:val="6"/>
      <w:kern w:val="0"/>
      <w:sz w:val="28"/>
      <w:szCs w:val="20"/>
    </w:rPr>
  </w:style>
  <w:style w:type="character" w:customStyle="1" w:styleId="30">
    <w:name w:val="第三级 Char"/>
    <w:basedOn w:val="19"/>
    <w:link w:val="29"/>
    <w:qFormat/>
    <w:uiPriority w:val="0"/>
    <w:rPr>
      <w:rFonts w:eastAsia="仿宋_GB2312" w:cs="宋体"/>
      <w:spacing w:val="6"/>
      <w:sz w:val="28"/>
      <w:lang w:val="en-US" w:eastAsia="zh-CN" w:bidi="ar-SA"/>
    </w:rPr>
  </w:style>
  <w:style w:type="character" w:customStyle="1" w:styleId="31">
    <w:name w:val="vnews1"/>
    <w:basedOn w:val="19"/>
    <w:qFormat/>
    <w:uiPriority w:val="0"/>
    <w:rPr>
      <w:sz w:val="28"/>
      <w:szCs w:val="28"/>
    </w:rPr>
  </w:style>
  <w:style w:type="paragraph" w:customStyle="1" w:styleId="32">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3">
    <w:name w:val="样式 正文文本 Char"/>
    <w:basedOn w:val="19"/>
    <w:link w:val="34"/>
    <w:qFormat/>
    <w:uiPriority w:val="0"/>
    <w:rPr>
      <w:rFonts w:ascii="Arial" w:hAnsi="Arial" w:eastAsia="宋体"/>
      <w:color w:val="000000"/>
      <w:kern w:val="2"/>
      <w:sz w:val="21"/>
      <w:lang w:val="en-US" w:eastAsia="zh-CN" w:bidi="ar-SA"/>
    </w:rPr>
  </w:style>
  <w:style w:type="paragraph" w:customStyle="1" w:styleId="34">
    <w:name w:val="样式 正文文本"/>
    <w:basedOn w:val="1"/>
    <w:link w:val="33"/>
    <w:qFormat/>
    <w:uiPriority w:val="0"/>
    <w:pPr>
      <w:adjustRightInd w:val="0"/>
      <w:snapToGrid w:val="0"/>
      <w:spacing w:line="400" w:lineRule="exact"/>
      <w:ind w:firstLine="200" w:firstLineChars="200"/>
    </w:pPr>
    <w:rPr>
      <w:rFonts w:ascii="Arial" w:hAnsi="Arial"/>
      <w:color w:val="000000"/>
      <w:szCs w:val="20"/>
    </w:rPr>
  </w:style>
  <w:style w:type="paragraph" w:customStyle="1" w:styleId="35">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6">
    <w:name w:val="1.1.1 (文字)"/>
    <w:basedOn w:val="1"/>
    <w:qFormat/>
    <w:uiPriority w:val="0"/>
    <w:pPr>
      <w:spacing w:beforeLines="50" w:afterLines="50" w:line="360" w:lineRule="auto"/>
      <w:ind w:firstLine="200" w:firstLineChars="200"/>
      <w:jc w:val="left"/>
      <w:outlineLvl w:val="3"/>
    </w:pPr>
    <w:rPr>
      <w:sz w:val="24"/>
    </w:rPr>
  </w:style>
  <w:style w:type="character" w:customStyle="1" w:styleId="37">
    <w:name w:val="标题 2 字符"/>
    <w:basedOn w:val="19"/>
    <w:link w:val="2"/>
    <w:semiHidden/>
    <w:qFormat/>
    <w:uiPriority w:val="0"/>
    <w:rPr>
      <w:rFonts w:asciiTheme="majorHAnsi" w:hAnsiTheme="majorHAnsi" w:eastAsiaTheme="majorEastAsia" w:cstheme="majorBidi"/>
      <w:b/>
      <w:bCs/>
      <w:kern w:val="2"/>
      <w:sz w:val="32"/>
      <w:szCs w:val="32"/>
    </w:rPr>
  </w:style>
  <w:style w:type="paragraph" w:styleId="38">
    <w:name w:val="List Paragraph"/>
    <w:basedOn w:val="1"/>
    <w:qFormat/>
    <w:uiPriority w:val="34"/>
    <w:pPr>
      <w:ind w:firstLine="420" w:firstLineChars="200"/>
    </w:pPr>
  </w:style>
  <w:style w:type="character" w:customStyle="1" w:styleId="39">
    <w:name w:val="批注文字 字符"/>
    <w:basedOn w:val="19"/>
    <w:link w:val="4"/>
    <w:qFormat/>
    <w:uiPriority w:val="0"/>
    <w:rPr>
      <w:kern w:val="2"/>
      <w:sz w:val="21"/>
      <w:szCs w:val="24"/>
    </w:rPr>
  </w:style>
  <w:style w:type="character" w:customStyle="1" w:styleId="40">
    <w:name w:val="批注主题 字符"/>
    <w:basedOn w:val="39"/>
    <w:link w:val="16"/>
    <w:qFormat/>
    <w:uiPriority w:val="0"/>
    <w:rPr>
      <w:b/>
      <w:bCs/>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4A24F9-9E62-4998-9F68-8AE2969F6589}">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11</Pages>
  <Words>4721</Words>
  <Characters>5127</Characters>
  <Lines>36</Lines>
  <Paragraphs>10</Paragraphs>
  <TotalTime>4</TotalTime>
  <ScaleCrop>false</ScaleCrop>
  <LinksUpToDate>false</LinksUpToDate>
  <CharactersWithSpaces>5286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2021-05-12T08:26:00Z</dcterms:created>
  <dc:creator>番茄花园</dc:creator>
  <cp:lastModifiedBy>¹⁹⁹³ .₀₈.₀₆</cp:lastModifiedBy>
  <cp:lastPrinted>2020-07-24T02:17:00Z</cp:lastPrinted>
  <dcterms:modified xsi:type="dcterms:W3CDTF">2023-10-09T02:39:31Z</dcterms:modified>
  <dc:title>慈溪市科博文化中心项目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0386AC64C5754944AC122A4BA64EB462</vt:lpwstr>
  </property>
</Properties>
</file>